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78" w:rsidRDefault="00A46E7C" w:rsidP="00745C78">
      <w:pPr>
        <w:pStyle w:val="Tekstpodstawowy2"/>
        <w:jc w:val="right"/>
        <w:rPr>
          <w:b w:val="0"/>
          <w:sz w:val="20"/>
          <w:szCs w:val="20"/>
        </w:rPr>
      </w:pPr>
      <w:r>
        <w:rPr>
          <w:b w:val="0"/>
          <w:sz w:val="20"/>
          <w:szCs w:val="20"/>
        </w:rPr>
        <w:t>Załącznik do Uchwały Nr 109</w:t>
      </w:r>
      <w:r w:rsidR="00A4266B">
        <w:rPr>
          <w:b w:val="0"/>
          <w:sz w:val="20"/>
          <w:szCs w:val="20"/>
        </w:rPr>
        <w:t xml:space="preserve"> </w:t>
      </w:r>
      <w:r w:rsidR="008F1674">
        <w:rPr>
          <w:b w:val="0"/>
          <w:sz w:val="20"/>
          <w:szCs w:val="20"/>
        </w:rPr>
        <w:t>/1</w:t>
      </w:r>
      <w:r w:rsidR="00A4266B">
        <w:rPr>
          <w:b w:val="0"/>
          <w:sz w:val="20"/>
          <w:szCs w:val="20"/>
        </w:rPr>
        <w:t>1</w:t>
      </w:r>
    </w:p>
    <w:p w:rsidR="00745C78" w:rsidRDefault="00745C78" w:rsidP="00745C78">
      <w:pPr>
        <w:pStyle w:val="Tekstpodstawowy2"/>
        <w:jc w:val="right"/>
        <w:rPr>
          <w:b w:val="0"/>
          <w:sz w:val="20"/>
          <w:szCs w:val="20"/>
        </w:rPr>
      </w:pPr>
      <w:r>
        <w:rPr>
          <w:b w:val="0"/>
          <w:sz w:val="20"/>
          <w:szCs w:val="20"/>
        </w:rPr>
        <w:t>Zarządu Województwa Świętokrzyskiego</w:t>
      </w:r>
    </w:p>
    <w:p w:rsidR="00745C78" w:rsidRDefault="00A46E7C" w:rsidP="00745C78">
      <w:pPr>
        <w:pStyle w:val="Tekstpodstawowy2"/>
        <w:jc w:val="right"/>
        <w:rPr>
          <w:b w:val="0"/>
          <w:sz w:val="20"/>
          <w:szCs w:val="20"/>
        </w:rPr>
      </w:pPr>
      <w:r>
        <w:rPr>
          <w:b w:val="0"/>
          <w:sz w:val="20"/>
          <w:szCs w:val="20"/>
        </w:rPr>
        <w:t>z dnia 16</w:t>
      </w:r>
      <w:r w:rsidR="008F1674">
        <w:rPr>
          <w:b w:val="0"/>
          <w:sz w:val="20"/>
          <w:szCs w:val="20"/>
        </w:rPr>
        <w:t xml:space="preserve"> </w:t>
      </w:r>
      <w:r w:rsidR="00A4266B">
        <w:rPr>
          <w:b w:val="0"/>
          <w:sz w:val="20"/>
          <w:szCs w:val="20"/>
        </w:rPr>
        <w:t>lutego</w:t>
      </w:r>
      <w:r w:rsidR="008F1674">
        <w:rPr>
          <w:b w:val="0"/>
          <w:sz w:val="20"/>
          <w:szCs w:val="20"/>
        </w:rPr>
        <w:t xml:space="preserve"> 201</w:t>
      </w:r>
      <w:r w:rsidR="00A4266B">
        <w:rPr>
          <w:b w:val="0"/>
          <w:sz w:val="20"/>
          <w:szCs w:val="20"/>
        </w:rPr>
        <w:t>1</w:t>
      </w:r>
      <w:r w:rsidR="00745C78">
        <w:rPr>
          <w:b w:val="0"/>
          <w:sz w:val="20"/>
          <w:szCs w:val="20"/>
        </w:rPr>
        <w:t xml:space="preserve"> roku</w:t>
      </w:r>
    </w:p>
    <w:p w:rsidR="00745C78" w:rsidRDefault="00745C78" w:rsidP="00745C78">
      <w:pPr>
        <w:pStyle w:val="Tekstpodstawowy2"/>
      </w:pPr>
    </w:p>
    <w:p w:rsidR="00745C78" w:rsidRDefault="00745C78" w:rsidP="00745C78">
      <w:pPr>
        <w:pStyle w:val="Tekstpodstawowy2"/>
      </w:pPr>
      <w:r>
        <w:rPr>
          <w:noProof/>
        </w:rPr>
        <w:drawing>
          <wp:anchor distT="0" distB="0" distL="114300" distR="114300" simplePos="0" relativeHeight="251658240" behindDoc="0" locked="0" layoutInCell="0" allowOverlap="1">
            <wp:simplePos x="0" y="0"/>
            <wp:positionH relativeFrom="column">
              <wp:posOffset>114300</wp:posOffset>
            </wp:positionH>
            <wp:positionV relativeFrom="paragraph">
              <wp:posOffset>-342900</wp:posOffset>
            </wp:positionV>
            <wp:extent cx="1066800" cy="1155700"/>
            <wp:effectExtent l="19050" t="0" r="0" b="0"/>
            <wp:wrapTight wrapText="bothSides">
              <wp:wrapPolygon edited="0">
                <wp:start x="-386" y="0"/>
                <wp:lineTo x="-386" y="21363"/>
                <wp:lineTo x="21600" y="21363"/>
                <wp:lineTo x="21600" y="0"/>
                <wp:lineTo x="-386" y="0"/>
              </wp:wrapPolygon>
            </wp:wrapTight>
            <wp:docPr id="2" name="Obraz 2" descr="Godło woj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ło wojew"/>
                    <pic:cNvPicPr>
                      <a:picLocks noChangeAspect="1" noChangeArrowheads="1"/>
                    </pic:cNvPicPr>
                  </pic:nvPicPr>
                  <pic:blipFill>
                    <a:blip r:embed="rId5"/>
                    <a:srcRect/>
                    <a:stretch>
                      <a:fillRect/>
                    </a:stretch>
                  </pic:blipFill>
                  <pic:spPr bwMode="auto">
                    <a:xfrm>
                      <a:off x="0" y="0"/>
                      <a:ext cx="1066800" cy="1155700"/>
                    </a:xfrm>
                    <a:prstGeom prst="rect">
                      <a:avLst/>
                    </a:prstGeom>
                    <a:noFill/>
                  </pic:spPr>
                </pic:pic>
              </a:graphicData>
            </a:graphic>
          </wp:anchor>
        </w:drawing>
      </w:r>
      <w:r>
        <w:t>Ogłoszenie Zarządu Województwa Świętokrzyskiego</w:t>
      </w:r>
    </w:p>
    <w:p w:rsidR="00745C78" w:rsidRDefault="00745C78" w:rsidP="00745C78">
      <w:pPr>
        <w:pStyle w:val="Tekstpodstawowy2"/>
      </w:pPr>
      <w:r>
        <w:t>Kielce Al. IX Wieków Kielc 3</w:t>
      </w:r>
    </w:p>
    <w:p w:rsidR="00745C78" w:rsidRDefault="00745C78" w:rsidP="00745C78">
      <w:pPr>
        <w:pStyle w:val="Nagwek3"/>
        <w:jc w:val="both"/>
        <w:rPr>
          <w:b/>
          <w:sz w:val="36"/>
          <w:szCs w:val="24"/>
        </w:rPr>
      </w:pPr>
    </w:p>
    <w:p w:rsidR="00745C78" w:rsidRDefault="00745C78" w:rsidP="00745C78">
      <w:pPr>
        <w:rPr>
          <w:sz w:val="16"/>
          <w:szCs w:val="16"/>
        </w:rPr>
      </w:pPr>
    </w:p>
    <w:p w:rsidR="00745C78" w:rsidRDefault="00745C78" w:rsidP="00745C78">
      <w:pPr>
        <w:pStyle w:val="Nagwek3"/>
        <w:jc w:val="both"/>
        <w:rPr>
          <w:b/>
          <w:szCs w:val="24"/>
        </w:rPr>
      </w:pPr>
      <w:r>
        <w:rPr>
          <w:b/>
          <w:szCs w:val="24"/>
        </w:rPr>
        <w:t xml:space="preserve">w sprawie ogłoszenia otwartego konkursu ofert na wsparcie zadań publicznych Województwa Świętokrzyskiego z zakresu działań na rzecz ekologii i ochrony zwierząt oraz ochrony </w:t>
      </w:r>
      <w:r w:rsidR="008F1674">
        <w:rPr>
          <w:b/>
          <w:szCs w:val="24"/>
        </w:rPr>
        <w:t>dziedzictwa przyrodniczego w 201</w:t>
      </w:r>
      <w:r w:rsidR="00A4266B">
        <w:rPr>
          <w:b/>
          <w:szCs w:val="24"/>
        </w:rPr>
        <w:t>1</w:t>
      </w:r>
      <w:r>
        <w:rPr>
          <w:b/>
          <w:szCs w:val="24"/>
        </w:rPr>
        <w:t xml:space="preserve"> roku.</w:t>
      </w:r>
    </w:p>
    <w:p w:rsidR="00745C78" w:rsidRDefault="00745C78" w:rsidP="00745C78"/>
    <w:p w:rsidR="00745C78" w:rsidRDefault="00745C78" w:rsidP="00745C78">
      <w:pPr>
        <w:pStyle w:val="Tekstpodstawowy"/>
        <w:ind w:firstLine="360"/>
        <w:jc w:val="both"/>
        <w:rPr>
          <w:sz w:val="24"/>
        </w:rPr>
      </w:pPr>
      <w:r>
        <w:rPr>
          <w:sz w:val="24"/>
        </w:rPr>
        <w:t xml:space="preserve">Zarząd Województwa Świętokrzyskiego ogłasza otwarty konkurs ofert na wsparcie zadań z zakresu działań na rzecz ekologii i ochrony zwierząt oraz ochrony dziedzictwa przyrodniczego. </w:t>
      </w:r>
    </w:p>
    <w:p w:rsidR="00745C78" w:rsidRDefault="00745C78" w:rsidP="00745C78">
      <w:pPr>
        <w:pStyle w:val="Tekstpodstawowy"/>
        <w:jc w:val="both"/>
        <w:rPr>
          <w:sz w:val="24"/>
        </w:rPr>
      </w:pPr>
      <w:r w:rsidRPr="000F2428">
        <w:rPr>
          <w:sz w:val="24"/>
        </w:rPr>
        <w:t xml:space="preserve">W konkursie mogą brać udział podmioty określone w art. 3, ust. 2 </w:t>
      </w:r>
      <w:r w:rsidR="000F2428" w:rsidRPr="000F2428">
        <w:rPr>
          <w:sz w:val="24"/>
        </w:rPr>
        <w:t xml:space="preserve">i 3 </w:t>
      </w:r>
      <w:r w:rsidRPr="000F2428">
        <w:rPr>
          <w:sz w:val="24"/>
        </w:rPr>
        <w:t xml:space="preserve">ustawy z dnia 24 kwietnia 2003 r. o działalności pożytku publicznego i o wolontariacie </w:t>
      </w:r>
      <w:r w:rsidR="00A90FA7">
        <w:rPr>
          <w:sz w:val="24"/>
        </w:rPr>
        <w:t>(</w:t>
      </w:r>
      <w:r w:rsidRPr="000F2428">
        <w:rPr>
          <w:sz w:val="24"/>
        </w:rPr>
        <w:t>Dz. U.</w:t>
      </w:r>
      <w:r w:rsidR="000F2428" w:rsidRPr="000F2428">
        <w:rPr>
          <w:sz w:val="24"/>
        </w:rPr>
        <w:t xml:space="preserve"> z 2010r.</w:t>
      </w:r>
      <w:r w:rsidRPr="000F2428">
        <w:rPr>
          <w:sz w:val="24"/>
        </w:rPr>
        <w:t xml:space="preserve"> </w:t>
      </w:r>
      <w:r w:rsidR="000F2428" w:rsidRPr="000F2428">
        <w:rPr>
          <w:sz w:val="24"/>
        </w:rPr>
        <w:br/>
      </w:r>
      <w:r w:rsidRPr="000F2428">
        <w:rPr>
          <w:sz w:val="24"/>
        </w:rPr>
        <w:t xml:space="preserve">Nr </w:t>
      </w:r>
      <w:r w:rsidR="000F2428" w:rsidRPr="000F2428">
        <w:rPr>
          <w:sz w:val="24"/>
        </w:rPr>
        <w:t>234</w:t>
      </w:r>
      <w:r w:rsidRPr="000F2428">
        <w:rPr>
          <w:sz w:val="24"/>
        </w:rPr>
        <w:t xml:space="preserve">, poz. </w:t>
      </w:r>
      <w:r w:rsidR="00A90FA7">
        <w:rPr>
          <w:sz w:val="24"/>
        </w:rPr>
        <w:t>1536)</w:t>
      </w:r>
      <w:r w:rsidR="000F2428" w:rsidRPr="000F2428">
        <w:rPr>
          <w:sz w:val="24"/>
        </w:rPr>
        <w:t>. Celem konkursu ofert będzie</w:t>
      </w:r>
      <w:r w:rsidRPr="000F2428">
        <w:rPr>
          <w:sz w:val="24"/>
        </w:rPr>
        <w:t xml:space="preserve"> wsparcie zad</w:t>
      </w:r>
      <w:r w:rsidR="008F1674" w:rsidRPr="000F2428">
        <w:rPr>
          <w:sz w:val="24"/>
        </w:rPr>
        <w:t>ań publicznych województwa</w:t>
      </w:r>
      <w:r w:rsidR="008F1674">
        <w:rPr>
          <w:sz w:val="24"/>
        </w:rPr>
        <w:t xml:space="preserve"> w 201</w:t>
      </w:r>
      <w:r w:rsidR="00A4266B">
        <w:rPr>
          <w:sz w:val="24"/>
        </w:rPr>
        <w:t>1</w:t>
      </w:r>
      <w:r>
        <w:rPr>
          <w:sz w:val="24"/>
        </w:rPr>
        <w:t xml:space="preserve"> roku pn.:</w:t>
      </w:r>
    </w:p>
    <w:p w:rsidR="00745C78" w:rsidRDefault="00745C78" w:rsidP="00745C78">
      <w:pPr>
        <w:pStyle w:val="Tekstpodstawowy"/>
        <w:ind w:firstLine="360"/>
        <w:jc w:val="both"/>
        <w:rPr>
          <w:sz w:val="24"/>
        </w:rPr>
      </w:pPr>
    </w:p>
    <w:p w:rsidR="00745C78" w:rsidRDefault="00745C78" w:rsidP="00745C78">
      <w:pPr>
        <w:pStyle w:val="Tekstpodstawowy"/>
        <w:numPr>
          <w:ilvl w:val="0"/>
          <w:numId w:val="1"/>
        </w:numPr>
        <w:tabs>
          <w:tab w:val="num" w:pos="360"/>
        </w:tabs>
        <w:ind w:left="360"/>
        <w:jc w:val="both"/>
        <w:rPr>
          <w:b/>
          <w:i/>
          <w:sz w:val="24"/>
        </w:rPr>
      </w:pPr>
      <w:r>
        <w:rPr>
          <w:b/>
          <w:i/>
          <w:sz w:val="24"/>
        </w:rPr>
        <w:t xml:space="preserve"> Organizowanie konkursów, olimpiad, festiwali, konferencji i seminariów popularyzujących zagadnienia dotyczące o</w:t>
      </w:r>
      <w:r w:rsidR="00A4266B">
        <w:rPr>
          <w:b/>
          <w:i/>
          <w:sz w:val="24"/>
        </w:rPr>
        <w:t>c</w:t>
      </w:r>
      <w:r w:rsidR="00A90FA7">
        <w:rPr>
          <w:b/>
          <w:i/>
          <w:sz w:val="24"/>
        </w:rPr>
        <w:t xml:space="preserve">hrony środowiska i przyrody – 40 </w:t>
      </w:r>
      <w:r>
        <w:rPr>
          <w:b/>
          <w:i/>
          <w:sz w:val="24"/>
        </w:rPr>
        <w:t>000,00 zł.</w:t>
      </w:r>
    </w:p>
    <w:p w:rsidR="00745C78" w:rsidRDefault="00745C78" w:rsidP="00745C78">
      <w:pPr>
        <w:pStyle w:val="Tekstpodstawowy"/>
        <w:jc w:val="both"/>
        <w:rPr>
          <w:b/>
          <w:i/>
          <w:sz w:val="24"/>
        </w:rPr>
      </w:pPr>
    </w:p>
    <w:p w:rsidR="00745C78" w:rsidRDefault="00745C78" w:rsidP="00745C78">
      <w:pPr>
        <w:pStyle w:val="Tekstpodstawowy"/>
        <w:numPr>
          <w:ilvl w:val="0"/>
          <w:numId w:val="1"/>
        </w:numPr>
        <w:tabs>
          <w:tab w:val="num" w:pos="360"/>
        </w:tabs>
        <w:ind w:left="360"/>
        <w:jc w:val="both"/>
        <w:rPr>
          <w:b/>
          <w:i/>
          <w:sz w:val="24"/>
        </w:rPr>
      </w:pPr>
      <w:r>
        <w:rPr>
          <w:b/>
          <w:i/>
          <w:sz w:val="24"/>
        </w:rPr>
        <w:t xml:space="preserve"> Opracowywanie i wydawanie niskonakładowych, niekomercyjnych materiałów wydawniczych związanych z ochroną środowiska.- 2</w:t>
      </w:r>
      <w:r w:rsidR="00A4266B">
        <w:rPr>
          <w:b/>
          <w:i/>
          <w:sz w:val="24"/>
        </w:rPr>
        <w:t>0</w:t>
      </w:r>
      <w:r w:rsidR="00A90FA7">
        <w:rPr>
          <w:b/>
          <w:i/>
          <w:sz w:val="24"/>
        </w:rPr>
        <w:t xml:space="preserve"> </w:t>
      </w:r>
      <w:r>
        <w:rPr>
          <w:b/>
          <w:i/>
          <w:sz w:val="24"/>
        </w:rPr>
        <w:t>000,00 zł.</w:t>
      </w:r>
    </w:p>
    <w:p w:rsidR="00745C78" w:rsidRDefault="00745C78" w:rsidP="00745C78">
      <w:pPr>
        <w:pStyle w:val="Tekstpodstawowy"/>
        <w:rPr>
          <w:sz w:val="24"/>
        </w:rPr>
      </w:pPr>
    </w:p>
    <w:p w:rsidR="00745C78" w:rsidRDefault="000F2428" w:rsidP="00745C78">
      <w:pPr>
        <w:pStyle w:val="Tekstpodstawowy"/>
        <w:ind w:firstLine="360"/>
        <w:jc w:val="both"/>
        <w:rPr>
          <w:i/>
          <w:sz w:val="24"/>
        </w:rPr>
      </w:pPr>
      <w:r>
        <w:rPr>
          <w:i/>
          <w:sz w:val="24"/>
        </w:rPr>
        <w:t>Wysokość środków publicznych</w:t>
      </w:r>
      <w:r w:rsidR="009C0D6D">
        <w:rPr>
          <w:i/>
          <w:sz w:val="24"/>
        </w:rPr>
        <w:t xml:space="preserve"> przeznaczonych na wsparcie realizacji zadań</w:t>
      </w:r>
      <w:r w:rsidR="00745C78">
        <w:rPr>
          <w:i/>
          <w:sz w:val="24"/>
        </w:rPr>
        <w:t xml:space="preserve"> z zakresu ekologii i ochrony zwierząt oraz ochrony dziedzictwa przyrodniczego </w:t>
      </w:r>
      <w:r>
        <w:rPr>
          <w:i/>
          <w:sz w:val="24"/>
        </w:rPr>
        <w:t xml:space="preserve">w 2011 roku wynosi ogółem </w:t>
      </w:r>
      <w:r w:rsidR="008F1674">
        <w:rPr>
          <w:b/>
          <w:i/>
          <w:sz w:val="24"/>
        </w:rPr>
        <w:t>6</w:t>
      </w:r>
      <w:r w:rsidR="00A90FA7">
        <w:rPr>
          <w:b/>
          <w:i/>
          <w:sz w:val="24"/>
        </w:rPr>
        <w:t xml:space="preserve">0 </w:t>
      </w:r>
      <w:r w:rsidR="00745C78">
        <w:rPr>
          <w:b/>
          <w:i/>
          <w:sz w:val="24"/>
        </w:rPr>
        <w:t xml:space="preserve">000,00 zł. </w:t>
      </w:r>
      <w:r w:rsidR="008F1674">
        <w:rPr>
          <w:i/>
          <w:sz w:val="24"/>
        </w:rPr>
        <w:t>(sześćdziesiąt</w:t>
      </w:r>
      <w:r w:rsidR="00745C78">
        <w:rPr>
          <w:i/>
          <w:sz w:val="24"/>
        </w:rPr>
        <w:t xml:space="preserve"> tysięcy złotyc</w:t>
      </w:r>
      <w:r w:rsidR="00A90FA7">
        <w:rPr>
          <w:i/>
          <w:sz w:val="24"/>
        </w:rPr>
        <w:t>h)</w:t>
      </w:r>
      <w:r w:rsidR="00745C78">
        <w:rPr>
          <w:i/>
          <w:sz w:val="24"/>
        </w:rPr>
        <w:t>.</w:t>
      </w:r>
    </w:p>
    <w:p w:rsidR="00745C78" w:rsidRDefault="00745C78" w:rsidP="00745C78">
      <w:pPr>
        <w:pStyle w:val="Tekstpodstawowy"/>
        <w:rPr>
          <w:b/>
          <w:i/>
          <w:sz w:val="24"/>
        </w:rPr>
      </w:pPr>
    </w:p>
    <w:p w:rsidR="00745C78" w:rsidRDefault="00745C78" w:rsidP="00745C78">
      <w:pPr>
        <w:pStyle w:val="Tekstpodstawowy"/>
        <w:jc w:val="both"/>
        <w:rPr>
          <w:b/>
          <w:sz w:val="24"/>
          <w:u w:val="single"/>
        </w:rPr>
      </w:pPr>
      <w:r>
        <w:rPr>
          <w:b/>
          <w:sz w:val="24"/>
          <w:u w:val="single"/>
        </w:rPr>
        <w:t>Zasady przyznawania dotacji</w:t>
      </w:r>
    </w:p>
    <w:p w:rsidR="00745C78" w:rsidRPr="00537571" w:rsidRDefault="00745C78" w:rsidP="00B700B0">
      <w:pPr>
        <w:pStyle w:val="Tekstpodstawowy"/>
        <w:jc w:val="both"/>
        <w:rPr>
          <w:sz w:val="24"/>
        </w:rPr>
      </w:pPr>
    </w:p>
    <w:p w:rsidR="00B700B0" w:rsidRDefault="00B700B0" w:rsidP="00745C78">
      <w:pPr>
        <w:pStyle w:val="Tekstpodstawowy"/>
        <w:numPr>
          <w:ilvl w:val="1"/>
          <w:numId w:val="2"/>
        </w:numPr>
        <w:tabs>
          <w:tab w:val="num" w:pos="360"/>
        </w:tabs>
        <w:ind w:left="360"/>
        <w:jc w:val="both"/>
        <w:rPr>
          <w:sz w:val="24"/>
        </w:rPr>
      </w:pPr>
      <w:r>
        <w:rPr>
          <w:sz w:val="24"/>
        </w:rPr>
        <w:t>O dotację mogą ubiegać się oferenci spełniający następujące warunki:</w:t>
      </w:r>
    </w:p>
    <w:p w:rsidR="00B700B0" w:rsidRDefault="00425008" w:rsidP="00B700B0">
      <w:pPr>
        <w:pStyle w:val="Tekstpodstawowy"/>
        <w:numPr>
          <w:ilvl w:val="0"/>
          <w:numId w:val="7"/>
        </w:numPr>
        <w:tabs>
          <w:tab w:val="num" w:pos="1440"/>
        </w:tabs>
        <w:jc w:val="both"/>
        <w:rPr>
          <w:sz w:val="24"/>
        </w:rPr>
      </w:pPr>
      <w:r>
        <w:rPr>
          <w:sz w:val="24"/>
        </w:rPr>
        <w:t>c</w:t>
      </w:r>
      <w:r w:rsidR="00B700B0">
        <w:rPr>
          <w:sz w:val="24"/>
        </w:rPr>
        <w:t>ele statutowe oferenta są zgodne z dziedziną, w jakiej realizowane jest zadanie,</w:t>
      </w:r>
    </w:p>
    <w:p w:rsidR="00B700B0" w:rsidRDefault="00425008" w:rsidP="00B700B0">
      <w:pPr>
        <w:pStyle w:val="Tekstpodstawowy"/>
        <w:numPr>
          <w:ilvl w:val="0"/>
          <w:numId w:val="7"/>
        </w:numPr>
        <w:tabs>
          <w:tab w:val="num" w:pos="1440"/>
        </w:tabs>
        <w:jc w:val="both"/>
        <w:rPr>
          <w:sz w:val="24"/>
        </w:rPr>
      </w:pPr>
      <w:r>
        <w:rPr>
          <w:sz w:val="24"/>
        </w:rPr>
        <w:t>oferent posiada własne konto bankowe</w:t>
      </w:r>
      <w:r w:rsidR="00A90FA7">
        <w:rPr>
          <w:sz w:val="24"/>
        </w:rPr>
        <w:t>.</w:t>
      </w:r>
    </w:p>
    <w:p w:rsidR="00745C78" w:rsidRDefault="00745C78" w:rsidP="00745C78">
      <w:pPr>
        <w:pStyle w:val="Tekstpodstawowy"/>
        <w:numPr>
          <w:ilvl w:val="1"/>
          <w:numId w:val="2"/>
        </w:numPr>
        <w:tabs>
          <w:tab w:val="num" w:pos="360"/>
        </w:tabs>
        <w:ind w:left="360"/>
        <w:jc w:val="both"/>
        <w:rPr>
          <w:sz w:val="24"/>
        </w:rPr>
      </w:pPr>
      <w:r>
        <w:rPr>
          <w:sz w:val="24"/>
        </w:rPr>
        <w:t>Dotacja może być przyznana jedynie na wsparcie zadań, o których mowa w ogłoszeniu konkursowym.</w:t>
      </w:r>
    </w:p>
    <w:p w:rsidR="00745C78" w:rsidRDefault="00745C78" w:rsidP="00745C78">
      <w:pPr>
        <w:pStyle w:val="Tekstpodstawowy"/>
        <w:numPr>
          <w:ilvl w:val="1"/>
          <w:numId w:val="2"/>
        </w:numPr>
        <w:tabs>
          <w:tab w:val="num" w:pos="360"/>
        </w:tabs>
        <w:ind w:left="360"/>
        <w:jc w:val="both"/>
        <w:rPr>
          <w:sz w:val="24"/>
        </w:rPr>
      </w:pPr>
      <w:r>
        <w:rPr>
          <w:sz w:val="24"/>
        </w:rPr>
        <w:t xml:space="preserve">Złożenie oferty </w:t>
      </w:r>
      <w:r>
        <w:rPr>
          <w:b/>
          <w:i/>
          <w:sz w:val="24"/>
        </w:rPr>
        <w:t>nie gwarantuje przyznania dotacji</w:t>
      </w:r>
      <w:r>
        <w:rPr>
          <w:sz w:val="24"/>
        </w:rPr>
        <w:t xml:space="preserve">. </w:t>
      </w:r>
    </w:p>
    <w:p w:rsidR="00745C78" w:rsidRDefault="00745C78" w:rsidP="00745C78">
      <w:pPr>
        <w:pStyle w:val="Tekstpodstawowy"/>
        <w:numPr>
          <w:ilvl w:val="1"/>
          <w:numId w:val="2"/>
        </w:numPr>
        <w:tabs>
          <w:tab w:val="num" w:pos="360"/>
        </w:tabs>
        <w:ind w:left="360"/>
        <w:jc w:val="both"/>
        <w:rPr>
          <w:sz w:val="24"/>
        </w:rPr>
      </w:pPr>
      <w:r>
        <w:rPr>
          <w:sz w:val="24"/>
        </w:rPr>
        <w:t>Podmiot ubiegający się o dotację może złożyć tylko jedną ofertę na każde z zadań.</w:t>
      </w:r>
    </w:p>
    <w:p w:rsidR="00745C78" w:rsidRDefault="00745C78" w:rsidP="00745C78">
      <w:pPr>
        <w:pStyle w:val="Tekstpodstawowy"/>
        <w:numPr>
          <w:ilvl w:val="1"/>
          <w:numId w:val="2"/>
        </w:numPr>
        <w:tabs>
          <w:tab w:val="num" w:pos="360"/>
        </w:tabs>
        <w:ind w:left="360"/>
        <w:jc w:val="both"/>
        <w:rPr>
          <w:sz w:val="24"/>
        </w:rPr>
      </w:pPr>
      <w:r>
        <w:rPr>
          <w:sz w:val="24"/>
        </w:rPr>
        <w:t>W przypadku pozytywnej czy negatywnej decyzji, co do przyznania środków, odpowiednio ubiegające się o nie podmioty, powiadomione zostaną pismem urzędowym.</w:t>
      </w:r>
    </w:p>
    <w:p w:rsidR="00F73317" w:rsidRDefault="00F73317" w:rsidP="00F73317">
      <w:pPr>
        <w:pStyle w:val="Tekstpodstawowy"/>
        <w:numPr>
          <w:ilvl w:val="1"/>
          <w:numId w:val="2"/>
        </w:numPr>
        <w:tabs>
          <w:tab w:val="num" w:pos="360"/>
        </w:tabs>
        <w:ind w:left="360"/>
        <w:jc w:val="both"/>
        <w:rPr>
          <w:sz w:val="24"/>
        </w:rPr>
      </w:pPr>
      <w:r>
        <w:rPr>
          <w:sz w:val="24"/>
        </w:rPr>
        <w:t xml:space="preserve">Rozpatrywane będą </w:t>
      </w:r>
      <w:r>
        <w:rPr>
          <w:b/>
          <w:sz w:val="24"/>
        </w:rPr>
        <w:t>wyłącznie oferty kompletne i prawidłowe</w:t>
      </w:r>
      <w:r>
        <w:rPr>
          <w:sz w:val="24"/>
        </w:rPr>
        <w:t xml:space="preserve">, złożone według obowiązującego w dniu składania oferty wzoru.  </w:t>
      </w:r>
    </w:p>
    <w:p w:rsidR="00F73317" w:rsidRDefault="00F73317" w:rsidP="00F73317">
      <w:pPr>
        <w:pStyle w:val="Tekstpodstawowy"/>
        <w:numPr>
          <w:ilvl w:val="1"/>
          <w:numId w:val="2"/>
        </w:numPr>
        <w:tabs>
          <w:tab w:val="num" w:pos="360"/>
        </w:tabs>
        <w:ind w:left="360"/>
        <w:jc w:val="both"/>
        <w:rPr>
          <w:sz w:val="24"/>
        </w:rPr>
      </w:pPr>
      <w:r>
        <w:rPr>
          <w:sz w:val="24"/>
        </w:rPr>
        <w:t>Podmioty, których oferty zostaną zarekomendowane przez Komisję Konkursową będą mogły otrzymać dotację na podstawie pozytywnej decyzji Zarządu Województwa Świętokrzyskiego. Dotacja zostanie przekazana na mocy umowy, której wzór określa powołane poniżej rozporządzenie.</w:t>
      </w:r>
    </w:p>
    <w:p w:rsidR="00853A30" w:rsidRPr="00F73317" w:rsidRDefault="00853A30" w:rsidP="00853A30">
      <w:pPr>
        <w:pStyle w:val="Tekstpodstawowy"/>
        <w:tabs>
          <w:tab w:val="num" w:pos="1440"/>
        </w:tabs>
        <w:jc w:val="both"/>
        <w:rPr>
          <w:sz w:val="24"/>
        </w:rPr>
      </w:pPr>
    </w:p>
    <w:p w:rsidR="00745C78" w:rsidRDefault="00745C78" w:rsidP="00745C78">
      <w:pPr>
        <w:pStyle w:val="Tekstpodstawowy"/>
        <w:numPr>
          <w:ilvl w:val="1"/>
          <w:numId w:val="2"/>
        </w:numPr>
        <w:tabs>
          <w:tab w:val="num" w:pos="360"/>
        </w:tabs>
        <w:ind w:left="360"/>
        <w:jc w:val="both"/>
        <w:rPr>
          <w:sz w:val="24"/>
        </w:rPr>
      </w:pPr>
      <w:r>
        <w:rPr>
          <w:sz w:val="24"/>
        </w:rPr>
        <w:lastRenderedPageBreak/>
        <w:t>W przypadku, gdy suma dofinansowania zgłoszonych ofert przekracza wysokość środków przeznaczonych na wsparcie zadania, organizator konkursu zastrzega sobie możliwość proporcjonalnego zmniejszenia wielkości dofinansowania, stosownie do posiadanych środków. W tym przypadku organizator będzie żądał przedstawienia zaktualizowanego kosztorysu, zakresu i harmonogramu realizacji zadania dostosowanego do wysokości przyznanych środków</w:t>
      </w:r>
    </w:p>
    <w:p w:rsidR="00F73317" w:rsidRDefault="00F73317" w:rsidP="00745C78">
      <w:pPr>
        <w:pStyle w:val="Tekstpodstawowy"/>
        <w:numPr>
          <w:ilvl w:val="1"/>
          <w:numId w:val="2"/>
        </w:numPr>
        <w:tabs>
          <w:tab w:val="num" w:pos="360"/>
        </w:tabs>
        <w:ind w:left="360"/>
        <w:jc w:val="both"/>
        <w:rPr>
          <w:sz w:val="24"/>
        </w:rPr>
      </w:pPr>
      <w:r>
        <w:rPr>
          <w:sz w:val="24"/>
        </w:rPr>
        <w:t>Zarząd Województwa przyznając dotacje może wskazać pozycje z kosztorysu objęte dofinansowaniem z budżetu Województwa Świętokrzyskiego.</w:t>
      </w:r>
    </w:p>
    <w:p w:rsidR="00F73317" w:rsidRPr="00F73317" w:rsidRDefault="00F73317" w:rsidP="00F73317">
      <w:pPr>
        <w:pStyle w:val="Tekstpodstawowy"/>
        <w:numPr>
          <w:ilvl w:val="1"/>
          <w:numId w:val="2"/>
        </w:numPr>
        <w:tabs>
          <w:tab w:val="num" w:pos="360"/>
        </w:tabs>
        <w:ind w:left="360"/>
        <w:jc w:val="both"/>
        <w:rPr>
          <w:sz w:val="24"/>
        </w:rPr>
      </w:pPr>
      <w:r w:rsidRPr="00F73317">
        <w:rPr>
          <w:sz w:val="24"/>
        </w:rPr>
        <w:t>Koszty ponoszone w ramach realizacji zadania są kwalifikowane, jeżeli:</w:t>
      </w:r>
    </w:p>
    <w:p w:rsidR="00F73317" w:rsidRPr="00F73317" w:rsidRDefault="00F73317" w:rsidP="00F73317">
      <w:pPr>
        <w:pStyle w:val="NormalnyWeb"/>
        <w:numPr>
          <w:ilvl w:val="1"/>
          <w:numId w:val="8"/>
        </w:numPr>
        <w:jc w:val="both"/>
      </w:pPr>
      <w:r w:rsidRPr="00F73317">
        <w:t xml:space="preserve">są niezbędne do realizacji projektu, </w:t>
      </w:r>
    </w:p>
    <w:p w:rsidR="00F73317" w:rsidRPr="00F73317" w:rsidRDefault="00F73317" w:rsidP="00F73317">
      <w:pPr>
        <w:pStyle w:val="NormalnyWeb"/>
        <w:numPr>
          <w:ilvl w:val="1"/>
          <w:numId w:val="8"/>
        </w:numPr>
        <w:jc w:val="both"/>
      </w:pPr>
      <w:r w:rsidRPr="00F73317">
        <w:t>zostały faktycznie poniesione (tzn. nastąpił rozchód środków finansowych z kasy lub rachunku bankowego oferenta na podstawie faktury lub innego dokumentu księgowego),</w:t>
      </w:r>
    </w:p>
    <w:p w:rsidR="00F73317" w:rsidRPr="00F73317" w:rsidRDefault="00F73317" w:rsidP="006C7702">
      <w:pPr>
        <w:pStyle w:val="NormalnyWeb"/>
        <w:numPr>
          <w:ilvl w:val="1"/>
          <w:numId w:val="8"/>
        </w:numPr>
        <w:jc w:val="both"/>
      </w:pPr>
      <w:r w:rsidRPr="00F73317">
        <w:t xml:space="preserve">są udokumentowane dowodami księgowymi, </w:t>
      </w:r>
    </w:p>
    <w:p w:rsidR="00F73317" w:rsidRPr="00F73317" w:rsidRDefault="00F73317" w:rsidP="00F73317">
      <w:pPr>
        <w:pStyle w:val="NormalnyWeb"/>
        <w:numPr>
          <w:ilvl w:val="1"/>
          <w:numId w:val="8"/>
        </w:numPr>
        <w:jc w:val="both"/>
      </w:pPr>
      <w:r w:rsidRPr="00F73317">
        <w:t xml:space="preserve">zostały wydatkowane zgodnie z przepisami ustawy </w:t>
      </w:r>
      <w:r w:rsidRPr="00993432">
        <w:t>z dnia 29 stycznia 2004 r.</w:t>
      </w:r>
      <w:r w:rsidRPr="00F73317">
        <w:t xml:space="preserve"> Prawo zamówień publicznych.</w:t>
      </w:r>
    </w:p>
    <w:p w:rsidR="00F73317" w:rsidRPr="00F73317" w:rsidRDefault="00F73317" w:rsidP="00F73317">
      <w:pPr>
        <w:pStyle w:val="Akapitzlist"/>
        <w:numPr>
          <w:ilvl w:val="1"/>
          <w:numId w:val="2"/>
        </w:numPr>
        <w:tabs>
          <w:tab w:val="clear" w:pos="1440"/>
        </w:tabs>
        <w:spacing w:before="120" w:after="120"/>
        <w:ind w:left="426" w:hanging="426"/>
        <w:jc w:val="both"/>
      </w:pPr>
      <w:r w:rsidRPr="00F73317">
        <w:t>Koszty kwalifikowane stanowią w szczególności wydatki poniesione na:</w:t>
      </w:r>
    </w:p>
    <w:p w:rsidR="00F73317" w:rsidRPr="00F73317" w:rsidRDefault="00F73317" w:rsidP="00F73317">
      <w:pPr>
        <w:numPr>
          <w:ilvl w:val="0"/>
          <w:numId w:val="9"/>
        </w:numPr>
        <w:tabs>
          <w:tab w:val="clear" w:pos="2160"/>
          <w:tab w:val="num" w:pos="1260"/>
        </w:tabs>
        <w:ind w:left="1260"/>
        <w:jc w:val="both"/>
      </w:pPr>
      <w:r>
        <w:t>nagrody rzeczowe dla laureatów konkursów,</w:t>
      </w:r>
    </w:p>
    <w:p w:rsidR="00F73317" w:rsidRPr="00F73317" w:rsidRDefault="00F73317" w:rsidP="00F73317">
      <w:pPr>
        <w:numPr>
          <w:ilvl w:val="0"/>
          <w:numId w:val="9"/>
        </w:numPr>
        <w:tabs>
          <w:tab w:val="clear" w:pos="2160"/>
          <w:tab w:val="num" w:pos="1260"/>
        </w:tabs>
        <w:ind w:left="1260"/>
        <w:jc w:val="both"/>
      </w:pPr>
      <w:r w:rsidRPr="00F73317">
        <w:t>honoraria i wynagrodzenia dla osób bezpośrednio zatrudnionych przy realizacji zadania na pod</w:t>
      </w:r>
      <w:r w:rsidR="00444EA4">
        <w:t>stawie umowy o dzieło/zlecenia – stanowiące do 20% wartości zadania,</w:t>
      </w:r>
    </w:p>
    <w:p w:rsidR="00F73317" w:rsidRPr="00F73317" w:rsidRDefault="00F73317" w:rsidP="00F73317">
      <w:pPr>
        <w:numPr>
          <w:ilvl w:val="0"/>
          <w:numId w:val="9"/>
        </w:numPr>
        <w:tabs>
          <w:tab w:val="clear" w:pos="2160"/>
          <w:tab w:val="num" w:pos="1260"/>
        </w:tabs>
        <w:ind w:left="1260"/>
        <w:jc w:val="both"/>
      </w:pPr>
      <w:r w:rsidRPr="00F73317">
        <w:t xml:space="preserve">wyżywienie dla uczestników </w:t>
      </w:r>
      <w:r>
        <w:t>imprez</w:t>
      </w:r>
      <w:r w:rsidRPr="00F73317">
        <w:t>,</w:t>
      </w:r>
    </w:p>
    <w:p w:rsidR="00F73317" w:rsidRPr="00F73317" w:rsidRDefault="00F73317" w:rsidP="00F73317">
      <w:pPr>
        <w:numPr>
          <w:ilvl w:val="0"/>
          <w:numId w:val="9"/>
        </w:numPr>
        <w:tabs>
          <w:tab w:val="clear" w:pos="2160"/>
          <w:tab w:val="num" w:pos="1260"/>
        </w:tabs>
        <w:ind w:left="1260"/>
        <w:jc w:val="both"/>
      </w:pPr>
      <w:r w:rsidRPr="00F73317">
        <w:t>zakup materiałów niezbędnych do realizacji zadania,</w:t>
      </w:r>
    </w:p>
    <w:p w:rsidR="00F73317" w:rsidRDefault="00F73317" w:rsidP="00F73317">
      <w:pPr>
        <w:numPr>
          <w:ilvl w:val="0"/>
          <w:numId w:val="9"/>
        </w:numPr>
        <w:tabs>
          <w:tab w:val="clear" w:pos="2160"/>
          <w:tab w:val="num" w:pos="1260"/>
        </w:tabs>
        <w:ind w:left="1260"/>
        <w:jc w:val="both"/>
      </w:pPr>
      <w:r w:rsidRPr="00F73317">
        <w:t xml:space="preserve">wynajem urządzeń technicznych niezbędnych dla wykonania zadania </w:t>
      </w:r>
      <w:r w:rsidRPr="00F73317">
        <w:br/>
        <w:t>(np. nagłośnienie, oświetlenie, scena itd.),</w:t>
      </w:r>
    </w:p>
    <w:p w:rsidR="008A73C1" w:rsidRPr="00F73317" w:rsidRDefault="008A73C1" w:rsidP="00F73317">
      <w:pPr>
        <w:numPr>
          <w:ilvl w:val="0"/>
          <w:numId w:val="9"/>
        </w:numPr>
        <w:tabs>
          <w:tab w:val="clear" w:pos="2160"/>
          <w:tab w:val="num" w:pos="1260"/>
        </w:tabs>
        <w:ind w:left="1260"/>
        <w:jc w:val="both"/>
      </w:pPr>
      <w:r>
        <w:t>koszty wykonania upominków okolicznościowych dla uczestników imprez: znaczki/dyplomy/koszulki/medale,</w:t>
      </w:r>
    </w:p>
    <w:p w:rsidR="00F73317" w:rsidRPr="00F73317" w:rsidRDefault="00F73317" w:rsidP="00F73317">
      <w:pPr>
        <w:numPr>
          <w:ilvl w:val="0"/>
          <w:numId w:val="9"/>
        </w:numPr>
        <w:tabs>
          <w:tab w:val="clear" w:pos="2160"/>
          <w:tab w:val="num" w:pos="1260"/>
        </w:tabs>
        <w:ind w:left="1260"/>
        <w:jc w:val="both"/>
      </w:pPr>
      <w:r w:rsidRPr="00F73317">
        <w:t>wynajem pomieszczeń (sal widowiskowych, szkoleniowych, konferencyjnych itp.) niezbędnych do realizacji zadania,</w:t>
      </w:r>
    </w:p>
    <w:p w:rsidR="00F73317" w:rsidRPr="00F73317" w:rsidRDefault="00F73317" w:rsidP="00F73317">
      <w:pPr>
        <w:numPr>
          <w:ilvl w:val="0"/>
          <w:numId w:val="9"/>
        </w:numPr>
        <w:tabs>
          <w:tab w:val="clear" w:pos="2160"/>
          <w:tab w:val="num" w:pos="1260"/>
        </w:tabs>
        <w:ind w:left="1260"/>
        <w:jc w:val="both"/>
      </w:pPr>
      <w:r w:rsidRPr="00F73317">
        <w:t>usługi poligraficzne,</w:t>
      </w:r>
    </w:p>
    <w:p w:rsidR="00F73317" w:rsidRPr="00F73317" w:rsidRDefault="00F73317" w:rsidP="00F73317">
      <w:pPr>
        <w:numPr>
          <w:ilvl w:val="0"/>
          <w:numId w:val="9"/>
        </w:numPr>
        <w:tabs>
          <w:tab w:val="clear" w:pos="2160"/>
          <w:tab w:val="num" w:pos="1260"/>
        </w:tabs>
        <w:ind w:left="1260"/>
        <w:jc w:val="both"/>
      </w:pPr>
      <w:r w:rsidRPr="00F73317">
        <w:t>usługi transportowe,</w:t>
      </w:r>
    </w:p>
    <w:p w:rsidR="00F73317" w:rsidRPr="00F73317" w:rsidRDefault="00F73317" w:rsidP="00F73317">
      <w:pPr>
        <w:numPr>
          <w:ilvl w:val="0"/>
          <w:numId w:val="9"/>
        </w:numPr>
        <w:tabs>
          <w:tab w:val="clear" w:pos="2160"/>
          <w:tab w:val="num" w:pos="1260"/>
        </w:tabs>
        <w:ind w:left="1260"/>
        <w:jc w:val="both"/>
      </w:pPr>
      <w:r w:rsidRPr="00F73317">
        <w:t>promocję zadania</w:t>
      </w:r>
      <w:r w:rsidR="00DD2314">
        <w:t>, w tym m.in. plakaty, ulotki, ogłoszenia prasowe, materiały informacyjne</w:t>
      </w:r>
      <w:r w:rsidRPr="00F73317">
        <w:t xml:space="preserve"> – nie więcej niż 5% wartości zadania,</w:t>
      </w:r>
    </w:p>
    <w:p w:rsidR="00F73317" w:rsidRPr="00181780" w:rsidRDefault="00F73317" w:rsidP="00F73317">
      <w:pPr>
        <w:numPr>
          <w:ilvl w:val="0"/>
          <w:numId w:val="9"/>
        </w:numPr>
        <w:tabs>
          <w:tab w:val="clear" w:pos="2160"/>
          <w:tab w:val="num" w:pos="1260"/>
        </w:tabs>
        <w:ind w:left="1260"/>
        <w:jc w:val="both"/>
      </w:pPr>
      <w:r w:rsidRPr="00181780">
        <w:t xml:space="preserve">koszt prowadzenia biura podmiotu (bez pracowników etatowych), bezpośrednio związany z realizacją zadania (tj. m.in. </w:t>
      </w:r>
      <w:r w:rsidR="00181780" w:rsidRPr="00181780">
        <w:t xml:space="preserve">materiały biurowe, </w:t>
      </w:r>
      <w:r w:rsidRPr="00181780">
        <w:t>usługi pocztowe, telekomunikacyjne, Internet – na podstawie opisanych bilingów i faktur) – nie więcej niż 10 % wartości zadania,</w:t>
      </w:r>
    </w:p>
    <w:p w:rsidR="00F73317" w:rsidRPr="00181780" w:rsidRDefault="00F73317" w:rsidP="00DD2314">
      <w:pPr>
        <w:numPr>
          <w:ilvl w:val="0"/>
          <w:numId w:val="9"/>
        </w:numPr>
        <w:tabs>
          <w:tab w:val="clear" w:pos="2160"/>
          <w:tab w:val="num" w:pos="1260"/>
        </w:tabs>
        <w:ind w:left="1260"/>
        <w:jc w:val="both"/>
      </w:pPr>
      <w:r w:rsidRPr="00181780">
        <w:t xml:space="preserve">wynagrodzenie pracowników podmiotu składającego ofertę, a także koszty związane z pracą wolontariuszy – koszt ten nie może być jednak sfinansowany </w:t>
      </w:r>
      <w:r w:rsidR="003A4E3B">
        <w:br/>
      </w:r>
      <w:r w:rsidRPr="00181780">
        <w:t>z dotacji przyznanej z budżetu Województwa Świętokrzyskiego.</w:t>
      </w:r>
    </w:p>
    <w:p w:rsidR="00F73317" w:rsidRPr="00DD2314" w:rsidRDefault="00F73317" w:rsidP="00DD2314">
      <w:pPr>
        <w:pStyle w:val="Akapitzlist"/>
        <w:numPr>
          <w:ilvl w:val="1"/>
          <w:numId w:val="2"/>
        </w:numPr>
        <w:tabs>
          <w:tab w:val="clear" w:pos="1440"/>
        </w:tabs>
        <w:ind w:left="426" w:hanging="426"/>
        <w:jc w:val="both"/>
      </w:pPr>
      <w:r w:rsidRPr="00DD2314">
        <w:t>Koszty niekwalifikowane stanowią:</w:t>
      </w:r>
    </w:p>
    <w:p w:rsidR="00F73317" w:rsidRPr="00DD2314" w:rsidRDefault="00F73317" w:rsidP="009A0106">
      <w:pPr>
        <w:pStyle w:val="NormalnyWeb"/>
        <w:numPr>
          <w:ilvl w:val="0"/>
          <w:numId w:val="10"/>
        </w:numPr>
        <w:tabs>
          <w:tab w:val="clear" w:pos="1440"/>
        </w:tabs>
        <w:ind w:left="1276" w:hanging="425"/>
        <w:jc w:val="both"/>
      </w:pPr>
      <w:r w:rsidRPr="00DD2314">
        <w:t xml:space="preserve">podatek od towarów i usług VAT, który może być odzyskany w oparciu </w:t>
      </w:r>
      <w:r w:rsidR="002B5F45">
        <w:br/>
      </w:r>
      <w:r w:rsidRPr="00DD2314">
        <w:t xml:space="preserve">o przepisy ustawy z dnia 11 marca 2004 r. o podatku od towarów i usług, </w:t>
      </w:r>
    </w:p>
    <w:p w:rsidR="00F73317" w:rsidRPr="00DD2314" w:rsidRDefault="00F73317" w:rsidP="00DD2314">
      <w:pPr>
        <w:pStyle w:val="NormalnyWeb"/>
        <w:numPr>
          <w:ilvl w:val="0"/>
          <w:numId w:val="10"/>
        </w:numPr>
        <w:tabs>
          <w:tab w:val="clear" w:pos="1440"/>
          <w:tab w:val="num" w:pos="1260"/>
        </w:tabs>
        <w:ind w:left="1260"/>
        <w:jc w:val="both"/>
      </w:pPr>
      <w:r w:rsidRPr="00DD2314">
        <w:t>zakup nieruchomości i środków trwałych,</w:t>
      </w:r>
    </w:p>
    <w:p w:rsidR="00F73317" w:rsidRPr="00DD2314" w:rsidRDefault="00F73317" w:rsidP="00DD2314">
      <w:pPr>
        <w:pStyle w:val="NormalnyWeb"/>
        <w:numPr>
          <w:ilvl w:val="0"/>
          <w:numId w:val="10"/>
        </w:numPr>
        <w:tabs>
          <w:tab w:val="clear" w:pos="1440"/>
          <w:tab w:val="num" w:pos="1260"/>
        </w:tabs>
        <w:ind w:left="1260"/>
        <w:jc w:val="both"/>
      </w:pPr>
      <w:r w:rsidRPr="00DD2314">
        <w:t>zakup wyposażenia,</w:t>
      </w:r>
    </w:p>
    <w:p w:rsidR="00F73317" w:rsidRPr="00DD2314" w:rsidRDefault="00F73317" w:rsidP="00DD2314">
      <w:pPr>
        <w:pStyle w:val="NormalnyWeb"/>
        <w:numPr>
          <w:ilvl w:val="0"/>
          <w:numId w:val="10"/>
        </w:numPr>
        <w:tabs>
          <w:tab w:val="clear" w:pos="1440"/>
          <w:tab w:val="num" w:pos="1260"/>
        </w:tabs>
        <w:ind w:left="1260"/>
        <w:jc w:val="both"/>
      </w:pPr>
      <w:r w:rsidRPr="00DD2314">
        <w:t>odsetki i odsetki karne.</w:t>
      </w:r>
    </w:p>
    <w:p w:rsidR="00745C78" w:rsidRPr="003A4E3B" w:rsidRDefault="00F73317" w:rsidP="003A4E3B">
      <w:pPr>
        <w:numPr>
          <w:ilvl w:val="1"/>
          <w:numId w:val="2"/>
        </w:numPr>
        <w:tabs>
          <w:tab w:val="clear" w:pos="1440"/>
        </w:tabs>
        <w:ind w:left="426" w:hanging="426"/>
        <w:jc w:val="both"/>
      </w:pPr>
      <w:r w:rsidRPr="00DD2314">
        <w:t xml:space="preserve">Przyznane środki nie mogą być przeznaczone na finansowanie kosztów stałej działalności podmiotu ubiegającego się o dofinansowanie, jak również na zakup i zadania </w:t>
      </w:r>
      <w:r w:rsidRPr="00DD2314">
        <w:lastRenderedPageBreak/>
        <w:t>inwestycyjne oraz prace remontowo budowlane, a także na pokrycie wierzytelności i zobowiązań podmiotu nie związanych z realizacją dofinansowanego zadania.</w:t>
      </w:r>
    </w:p>
    <w:p w:rsidR="00745C78" w:rsidRDefault="00745C78" w:rsidP="00745C78">
      <w:pPr>
        <w:pStyle w:val="Tekstpodstawowy"/>
        <w:numPr>
          <w:ilvl w:val="1"/>
          <w:numId w:val="2"/>
        </w:numPr>
        <w:tabs>
          <w:tab w:val="num" w:pos="360"/>
        </w:tabs>
        <w:ind w:left="360"/>
        <w:jc w:val="both"/>
        <w:rPr>
          <w:sz w:val="24"/>
        </w:rPr>
      </w:pPr>
      <w:r>
        <w:rPr>
          <w:sz w:val="24"/>
        </w:rPr>
        <w:t xml:space="preserve">Oferty złożone w niniejszym postępowaniu konkursowym będą stanowiły dokumentację Urzędu Marszałkowskiego Województwa Świętokrzyskiego i nie będą </w:t>
      </w:r>
      <w:r w:rsidR="003E135C">
        <w:rPr>
          <w:sz w:val="24"/>
        </w:rPr>
        <w:t xml:space="preserve">zwracane </w:t>
      </w:r>
      <w:r>
        <w:rPr>
          <w:sz w:val="24"/>
        </w:rPr>
        <w:t>oferentom.</w:t>
      </w:r>
    </w:p>
    <w:p w:rsidR="00745C78" w:rsidRDefault="003A4E3B" w:rsidP="00745C78">
      <w:pPr>
        <w:pStyle w:val="Tekstpodstawowy"/>
        <w:numPr>
          <w:ilvl w:val="1"/>
          <w:numId w:val="2"/>
        </w:numPr>
        <w:tabs>
          <w:tab w:val="num" w:pos="360"/>
        </w:tabs>
        <w:ind w:left="360"/>
        <w:jc w:val="both"/>
        <w:rPr>
          <w:sz w:val="24"/>
        </w:rPr>
      </w:pPr>
      <w:r>
        <w:rPr>
          <w:sz w:val="24"/>
        </w:rPr>
        <w:t xml:space="preserve">Składane oferty dotyczące realizacji zadań powinny mieć zasięg lub znaczenie co </w:t>
      </w:r>
      <w:r w:rsidRPr="003E135C">
        <w:rPr>
          <w:b/>
          <w:sz w:val="24"/>
        </w:rPr>
        <w:t>najmniej regionalny</w:t>
      </w:r>
      <w:r>
        <w:rPr>
          <w:sz w:val="24"/>
        </w:rPr>
        <w:t xml:space="preserve"> i </w:t>
      </w:r>
      <w:r w:rsidR="00745C78">
        <w:rPr>
          <w:sz w:val="24"/>
        </w:rPr>
        <w:t>muszą być realizowane na terenie Województwa Świętokrzyskiego.</w:t>
      </w:r>
    </w:p>
    <w:p w:rsidR="00745C78" w:rsidRPr="00425008" w:rsidRDefault="00745C78" w:rsidP="00745C78">
      <w:pPr>
        <w:pStyle w:val="Tekstpodstawowy"/>
        <w:jc w:val="both"/>
        <w:rPr>
          <w:sz w:val="24"/>
        </w:rPr>
      </w:pPr>
    </w:p>
    <w:p w:rsidR="00425008" w:rsidRDefault="00425008" w:rsidP="00745C78">
      <w:pPr>
        <w:pStyle w:val="Tekstpodstawowy"/>
        <w:jc w:val="both"/>
        <w:rPr>
          <w:b/>
          <w:sz w:val="24"/>
          <w:u w:val="single"/>
        </w:rPr>
      </w:pPr>
      <w:r w:rsidRPr="00425008">
        <w:rPr>
          <w:b/>
          <w:sz w:val="24"/>
          <w:u w:val="single"/>
        </w:rPr>
        <w:t>Wysokość dotacji</w:t>
      </w:r>
    </w:p>
    <w:p w:rsidR="001E0C81" w:rsidRPr="00425008" w:rsidRDefault="001E0C81" w:rsidP="00745C78">
      <w:pPr>
        <w:pStyle w:val="Tekstpodstawowy"/>
        <w:jc w:val="both"/>
        <w:rPr>
          <w:b/>
          <w:sz w:val="24"/>
          <w:u w:val="single"/>
        </w:rPr>
      </w:pPr>
    </w:p>
    <w:p w:rsidR="00425008" w:rsidRPr="002244D4" w:rsidRDefault="002244D4" w:rsidP="002244D4">
      <w:pPr>
        <w:pStyle w:val="Tekstpodstawowy"/>
        <w:numPr>
          <w:ilvl w:val="2"/>
          <w:numId w:val="2"/>
        </w:numPr>
        <w:tabs>
          <w:tab w:val="clear" w:pos="2160"/>
        </w:tabs>
        <w:ind w:left="426" w:hanging="426"/>
        <w:jc w:val="both"/>
        <w:rPr>
          <w:sz w:val="24"/>
        </w:rPr>
      </w:pPr>
      <w:r w:rsidRPr="002244D4">
        <w:rPr>
          <w:sz w:val="24"/>
        </w:rPr>
        <w:t xml:space="preserve">Wysokość dotacji dla podmiotów uprawnionych nie może przekroczyć </w:t>
      </w:r>
      <w:r w:rsidRPr="002244D4">
        <w:rPr>
          <w:b/>
          <w:sz w:val="24"/>
        </w:rPr>
        <w:t>70%</w:t>
      </w:r>
      <w:r w:rsidRPr="002244D4">
        <w:rPr>
          <w:sz w:val="24"/>
        </w:rPr>
        <w:t xml:space="preserve"> kosztów kwalifikowanych realizacji zadania.</w:t>
      </w:r>
    </w:p>
    <w:p w:rsidR="002244D4" w:rsidRDefault="002244D4" w:rsidP="002244D4">
      <w:pPr>
        <w:pStyle w:val="Tekstpodstawowy"/>
        <w:numPr>
          <w:ilvl w:val="2"/>
          <w:numId w:val="2"/>
        </w:numPr>
        <w:tabs>
          <w:tab w:val="clear" w:pos="2160"/>
        </w:tabs>
        <w:ind w:left="426" w:hanging="426"/>
        <w:jc w:val="both"/>
        <w:rPr>
          <w:sz w:val="24"/>
        </w:rPr>
      </w:pPr>
      <w:r w:rsidRPr="002244D4">
        <w:rPr>
          <w:sz w:val="24"/>
        </w:rPr>
        <w:t xml:space="preserve">W szczególnie uzasadnionych przypadkach dotacja może być wyższa niż określona </w:t>
      </w:r>
      <w:r>
        <w:rPr>
          <w:sz w:val="24"/>
        </w:rPr>
        <w:br/>
      </w:r>
      <w:r w:rsidRPr="002244D4">
        <w:rPr>
          <w:sz w:val="24"/>
        </w:rPr>
        <w:t xml:space="preserve">w </w:t>
      </w:r>
      <w:proofErr w:type="spellStart"/>
      <w:r w:rsidRPr="002244D4">
        <w:rPr>
          <w:sz w:val="24"/>
        </w:rPr>
        <w:t>pkt</w:t>
      </w:r>
      <w:proofErr w:type="spellEnd"/>
      <w:r w:rsidRPr="002244D4">
        <w:rPr>
          <w:sz w:val="24"/>
        </w:rPr>
        <w:t xml:space="preserve"> 1.</w:t>
      </w:r>
      <w:r w:rsidR="003E135C">
        <w:rPr>
          <w:sz w:val="24"/>
        </w:rPr>
        <w:t xml:space="preserve"> Decyzję w przedmiotowej sprawie podejmuje Zarząd Województwa Świętokrzyskiego.</w:t>
      </w:r>
    </w:p>
    <w:p w:rsidR="002244D4" w:rsidRPr="002244D4" w:rsidRDefault="002244D4" w:rsidP="00F63CF6">
      <w:pPr>
        <w:pStyle w:val="Tekstpodstawowy"/>
        <w:ind w:left="426"/>
        <w:jc w:val="both"/>
        <w:rPr>
          <w:sz w:val="24"/>
        </w:rPr>
      </w:pPr>
    </w:p>
    <w:p w:rsidR="00745C78" w:rsidRDefault="00745C78" w:rsidP="00745C78">
      <w:pPr>
        <w:pStyle w:val="Tekstpodstawowy"/>
        <w:jc w:val="both"/>
        <w:rPr>
          <w:b/>
          <w:sz w:val="24"/>
          <w:u w:val="single"/>
        </w:rPr>
      </w:pPr>
      <w:r>
        <w:rPr>
          <w:b/>
          <w:sz w:val="24"/>
          <w:u w:val="single"/>
        </w:rPr>
        <w:t>Wymagane Dokumenty:</w:t>
      </w:r>
    </w:p>
    <w:p w:rsidR="00745C78" w:rsidRDefault="00745C78" w:rsidP="00745C78">
      <w:pPr>
        <w:pStyle w:val="Tekstpodstawowy"/>
        <w:jc w:val="both"/>
        <w:rPr>
          <w:b/>
          <w:sz w:val="24"/>
        </w:rPr>
      </w:pPr>
    </w:p>
    <w:p w:rsidR="00745C78" w:rsidRDefault="00D23573" w:rsidP="00745C78">
      <w:pPr>
        <w:numPr>
          <w:ilvl w:val="0"/>
          <w:numId w:val="3"/>
        </w:numPr>
        <w:tabs>
          <w:tab w:val="num" w:pos="360"/>
        </w:tabs>
        <w:ind w:left="360"/>
        <w:jc w:val="both"/>
      </w:pPr>
      <w:r>
        <w:t>Prawidłowo w</w:t>
      </w:r>
      <w:r w:rsidR="00745C78">
        <w:t xml:space="preserve">ypełniony formularz oferty, </w:t>
      </w:r>
      <w:r>
        <w:t>w tym wyszczególnione koszty kwalifikowane i niekwalifikowane.</w:t>
      </w:r>
    </w:p>
    <w:p w:rsidR="00745C78" w:rsidRDefault="00745C78" w:rsidP="00745C78">
      <w:pPr>
        <w:numPr>
          <w:ilvl w:val="0"/>
          <w:numId w:val="3"/>
        </w:numPr>
        <w:tabs>
          <w:tab w:val="num" w:pos="360"/>
        </w:tabs>
        <w:ind w:left="360"/>
        <w:jc w:val="both"/>
      </w:pPr>
      <w:r>
        <w:t>Aktualny wyciąg z rejestru sądowego-wyciąg taki zachowuje ważność trzech miesięcy od daty jego wystawienia.</w:t>
      </w:r>
    </w:p>
    <w:p w:rsidR="00745C78" w:rsidRDefault="00745C78" w:rsidP="00745C78">
      <w:pPr>
        <w:numPr>
          <w:ilvl w:val="0"/>
          <w:numId w:val="3"/>
        </w:numPr>
        <w:tabs>
          <w:tab w:val="num" w:pos="360"/>
        </w:tabs>
        <w:ind w:left="360"/>
        <w:jc w:val="both"/>
      </w:pPr>
      <w:r>
        <w:t>W przypadku oddziału terenowego organizacji składającej ofertę współpracy niezbędne jest załączenie do niej pełnomocnictwa zarządu głównego, dla co najmniej dwóch przedstawicieli wyżej wymienionego oddziału, do składania w imieniu tej organizacji oświadczeń woli w zakresie nabywania praw i zaciągania zobowiązań finansowych oraz dysponowania środkami, przeznaczonymi na realizację zadania, o którego powierzenie lub wsparcie stara się ta jednostka organizacyjna.</w:t>
      </w:r>
    </w:p>
    <w:p w:rsidR="00745C78" w:rsidRDefault="00745C78" w:rsidP="00745C78">
      <w:pPr>
        <w:numPr>
          <w:ilvl w:val="0"/>
          <w:numId w:val="3"/>
        </w:numPr>
        <w:tabs>
          <w:tab w:val="num" w:pos="360"/>
        </w:tabs>
        <w:ind w:left="360"/>
        <w:jc w:val="both"/>
      </w:pPr>
      <w:r>
        <w:t xml:space="preserve"> Aktualny statut organizacji.</w:t>
      </w:r>
    </w:p>
    <w:p w:rsidR="00745C78" w:rsidRDefault="00745C78" w:rsidP="00745C78">
      <w:pPr>
        <w:numPr>
          <w:ilvl w:val="0"/>
          <w:numId w:val="3"/>
        </w:numPr>
        <w:tabs>
          <w:tab w:val="num" w:pos="360"/>
        </w:tabs>
        <w:ind w:left="360"/>
        <w:jc w:val="both"/>
      </w:pPr>
      <w:r>
        <w:t xml:space="preserve">Sprawozdanie finansowe i merytoryczne z działalności podmiotu za ubiegły rok lub </w:t>
      </w:r>
      <w:r w:rsidR="002B5F45">
        <w:br/>
      </w:r>
      <w:r>
        <w:t>- w przypadku dotychczasowej krótszej działalności - za miniony okres.</w:t>
      </w:r>
    </w:p>
    <w:p w:rsidR="00745C78" w:rsidRDefault="00745C78" w:rsidP="001E7CAB">
      <w:pPr>
        <w:numPr>
          <w:ilvl w:val="0"/>
          <w:numId w:val="3"/>
        </w:numPr>
        <w:tabs>
          <w:tab w:val="num" w:pos="360"/>
        </w:tabs>
        <w:ind w:left="360"/>
        <w:jc w:val="both"/>
      </w:pPr>
      <w:r>
        <w:t xml:space="preserve">Opinię banku prowadzącego rachunek oferenta, potwierdzającą brak zajęcia </w:t>
      </w:r>
      <w:r w:rsidR="001E7CAB">
        <w:br/>
      </w:r>
      <w:r>
        <w:t xml:space="preserve">z jakiegokolwiek tytułu egzekucyjnego za okres ostatnich 3 miesięcy wraz z informacją </w:t>
      </w:r>
      <w:r w:rsidR="001E7CAB">
        <w:br/>
      </w:r>
      <w:r>
        <w:t>o stanie zadłużenia na koniec miesiąca poprzedzającego złożenie oferty.</w:t>
      </w:r>
    </w:p>
    <w:p w:rsidR="001E7CAB" w:rsidRDefault="001E7CAB" w:rsidP="001E7CAB">
      <w:pPr>
        <w:pStyle w:val="NormalnyWeb"/>
        <w:numPr>
          <w:ilvl w:val="0"/>
          <w:numId w:val="3"/>
        </w:numPr>
        <w:tabs>
          <w:tab w:val="clear" w:pos="720"/>
        </w:tabs>
        <w:ind w:left="426" w:hanging="426"/>
        <w:jc w:val="both"/>
      </w:pPr>
      <w:r>
        <w:rPr>
          <w:color w:val="000000"/>
        </w:rPr>
        <w:t>U</w:t>
      </w:r>
      <w:r w:rsidRPr="001E7CAB">
        <w:rPr>
          <w:color w:val="000000"/>
        </w:rPr>
        <w:t xml:space="preserve">mowę partnerską zawartą między organizacjami pozarządowymi lub podmiotami wymienionymi w art. 3 ust. 3 ustawy z dnia 24 kwietnia 2003r. o działalności pożytku publicznego i o wolontariacie, określającą zakres ich świadczeń składających się na realizację zadania publicznego – w przypadku składania ofert, które będą realizowane </w:t>
      </w:r>
      <w:r>
        <w:rPr>
          <w:color w:val="000000"/>
        </w:rPr>
        <w:br/>
      </w:r>
      <w:r w:rsidRPr="001E7CAB">
        <w:rPr>
          <w:color w:val="000000"/>
        </w:rPr>
        <w:t>w partnerstwie.</w:t>
      </w:r>
    </w:p>
    <w:p w:rsidR="00745C78" w:rsidRDefault="00745C78" w:rsidP="00745C78">
      <w:pPr>
        <w:numPr>
          <w:ilvl w:val="0"/>
          <w:numId w:val="3"/>
        </w:numPr>
        <w:tabs>
          <w:tab w:val="num" w:pos="360"/>
        </w:tabs>
        <w:ind w:left="360"/>
        <w:jc w:val="both"/>
      </w:pPr>
      <w:r>
        <w:t xml:space="preserve">Oferta wraz z załącznikami powinna być kompletna, podpisana przez osobę /osoby/ statutowo upoważnioną przez organizację do składania oświadczeń woli w jej imieniu ze skutkami o charakterze finansowym tych oświadczeń oraz opatrzona pieczęcią firmową organizacji. </w:t>
      </w:r>
    </w:p>
    <w:p w:rsidR="001E7CAB" w:rsidRPr="001E7CAB" w:rsidRDefault="00745C78" w:rsidP="001E7CAB">
      <w:pPr>
        <w:numPr>
          <w:ilvl w:val="0"/>
          <w:numId w:val="3"/>
        </w:numPr>
        <w:tabs>
          <w:tab w:val="num" w:pos="360"/>
        </w:tabs>
        <w:ind w:left="360"/>
        <w:jc w:val="both"/>
      </w:pPr>
      <w:r>
        <w:t>Dokumenty przedłożone jako kserokopie należy poświadczyć za zgodność z oryginałem.</w:t>
      </w:r>
    </w:p>
    <w:p w:rsidR="001E7CAB" w:rsidRDefault="001E7CAB" w:rsidP="001E7CAB">
      <w:pPr>
        <w:pStyle w:val="NormalnyWeb"/>
        <w:numPr>
          <w:ilvl w:val="0"/>
          <w:numId w:val="3"/>
        </w:numPr>
        <w:tabs>
          <w:tab w:val="clear" w:pos="720"/>
        </w:tabs>
        <w:ind w:left="425" w:hanging="425"/>
        <w:jc w:val="both"/>
      </w:pPr>
      <w:r w:rsidRPr="001E7CAB">
        <w:t>Oferta niekompletna podlega wykluczeniu z możliwości ubiegania się o dotację</w:t>
      </w:r>
    </w:p>
    <w:p w:rsidR="00DC6908" w:rsidRDefault="00745C78" w:rsidP="001E7CAB">
      <w:pPr>
        <w:numPr>
          <w:ilvl w:val="0"/>
          <w:numId w:val="3"/>
        </w:numPr>
        <w:tabs>
          <w:tab w:val="num" w:pos="360"/>
        </w:tabs>
        <w:ind w:left="360"/>
        <w:jc w:val="both"/>
      </w:pPr>
      <w:r>
        <w:t>Podmiot wnioskujący o przyznanie środków na realizację zadania winien przedstawić ofertę wykonania zadania zgodną z zasadami uczciwej konkurencji, gwarantującą wykonanie zadania w sposób e</w:t>
      </w:r>
      <w:r w:rsidR="001E7CAB">
        <w:t>fektywny, oszczędny i terminowy.</w:t>
      </w:r>
    </w:p>
    <w:p w:rsidR="00DC6908" w:rsidRDefault="00DC6908" w:rsidP="001E7CAB">
      <w:pPr>
        <w:numPr>
          <w:ilvl w:val="0"/>
          <w:numId w:val="3"/>
        </w:numPr>
        <w:tabs>
          <w:tab w:val="num" w:pos="360"/>
        </w:tabs>
        <w:ind w:left="360"/>
        <w:jc w:val="both"/>
      </w:pPr>
      <w:r w:rsidRPr="001E7CAB">
        <w:lastRenderedPageBreak/>
        <w:t>W przypadku złożenia przez oferenta więcej niż jednej oferty dopuszcza się załączenie jednego kompletu załączników ze wskazaniem na pierwszej stronie (dopisek), przy której ofercie się znajdują. Oferta złożona bez wymaganych załączników jest niekompletna.</w:t>
      </w:r>
    </w:p>
    <w:p w:rsidR="00DC6908" w:rsidRPr="001E7CAB" w:rsidRDefault="00DC6908" w:rsidP="001E7CAB">
      <w:pPr>
        <w:numPr>
          <w:ilvl w:val="0"/>
          <w:numId w:val="3"/>
        </w:numPr>
        <w:tabs>
          <w:tab w:val="num" w:pos="360"/>
        </w:tabs>
        <w:ind w:left="360"/>
        <w:jc w:val="both"/>
      </w:pPr>
      <w:r w:rsidRPr="001E7CAB">
        <w:t xml:space="preserve">W przypadku złożenia oferty wspólnej, błąd formalny występujący po stronie jednego </w:t>
      </w:r>
      <w:r w:rsidR="002B5F45">
        <w:br/>
      </w:r>
      <w:r w:rsidRPr="001E7CAB">
        <w:t>z podmiotów powoduje odrzucenie oferty.</w:t>
      </w:r>
    </w:p>
    <w:p w:rsidR="00745C78" w:rsidRDefault="00745C78" w:rsidP="00745C78">
      <w:pPr>
        <w:jc w:val="both"/>
      </w:pPr>
    </w:p>
    <w:p w:rsidR="00745C78" w:rsidRDefault="00745C78" w:rsidP="00745C78">
      <w:pPr>
        <w:pStyle w:val="Tekstpodstawowy"/>
        <w:ind w:firstLine="1080"/>
        <w:jc w:val="both"/>
        <w:rPr>
          <w:i/>
          <w:sz w:val="24"/>
        </w:rPr>
      </w:pPr>
      <w:r>
        <w:rPr>
          <w:sz w:val="24"/>
        </w:rPr>
        <w:t>Wzór oferty określa</w:t>
      </w:r>
      <w:r>
        <w:rPr>
          <w:i/>
          <w:sz w:val="24"/>
        </w:rPr>
        <w:t xml:space="preserve"> rozporządzenie Ministra Pracy</w:t>
      </w:r>
      <w:r w:rsidR="00AD158E">
        <w:rPr>
          <w:i/>
          <w:sz w:val="24"/>
        </w:rPr>
        <w:t xml:space="preserve"> i Polityki Społecznej z dnia </w:t>
      </w:r>
      <w:r w:rsidR="00AD158E">
        <w:rPr>
          <w:i/>
          <w:sz w:val="24"/>
        </w:rPr>
        <w:br/>
        <w:t>15 grudnia 2010</w:t>
      </w:r>
      <w:r>
        <w:rPr>
          <w:i/>
          <w:sz w:val="24"/>
        </w:rPr>
        <w:t xml:space="preserve"> r. w sprawie wzoru </w:t>
      </w:r>
      <w:r w:rsidR="00AD158E">
        <w:rPr>
          <w:i/>
          <w:sz w:val="24"/>
        </w:rPr>
        <w:t>oferty ramowego wzoru umowy dotyczących realizacji zadania publicznego oraz</w:t>
      </w:r>
      <w:r>
        <w:rPr>
          <w:i/>
          <w:sz w:val="24"/>
        </w:rPr>
        <w:t xml:space="preserve"> wzoru sprawo</w:t>
      </w:r>
      <w:r w:rsidR="00C86C6E">
        <w:rPr>
          <w:i/>
          <w:sz w:val="24"/>
        </w:rPr>
        <w:t>zdania z wykonania tego zadania (</w:t>
      </w:r>
      <w:r>
        <w:rPr>
          <w:i/>
          <w:sz w:val="24"/>
        </w:rPr>
        <w:t xml:space="preserve">Dz. U. </w:t>
      </w:r>
      <w:r w:rsidR="00AD158E">
        <w:rPr>
          <w:i/>
          <w:sz w:val="24"/>
        </w:rPr>
        <w:t xml:space="preserve">z 2011r. </w:t>
      </w:r>
      <w:r w:rsidR="00AD158E">
        <w:rPr>
          <w:i/>
          <w:sz w:val="24"/>
        </w:rPr>
        <w:br/>
      </w:r>
      <w:r>
        <w:rPr>
          <w:i/>
          <w:sz w:val="24"/>
        </w:rPr>
        <w:t>Nr 6</w:t>
      </w:r>
      <w:r w:rsidR="00AD158E">
        <w:rPr>
          <w:i/>
          <w:sz w:val="24"/>
        </w:rPr>
        <w:t>, poz. 25</w:t>
      </w:r>
      <w:r w:rsidR="00C86C6E">
        <w:rPr>
          <w:i/>
          <w:sz w:val="24"/>
        </w:rPr>
        <w:t>)</w:t>
      </w:r>
      <w:r>
        <w:rPr>
          <w:i/>
          <w:sz w:val="24"/>
        </w:rPr>
        <w:t>.</w:t>
      </w:r>
    </w:p>
    <w:p w:rsidR="00C66BC1" w:rsidRPr="001E7CAB" w:rsidRDefault="00C66BC1" w:rsidP="00745C78">
      <w:pPr>
        <w:jc w:val="both"/>
        <w:rPr>
          <w:b/>
        </w:rPr>
      </w:pPr>
    </w:p>
    <w:p w:rsidR="00745C78" w:rsidRDefault="00745C78" w:rsidP="00745C78">
      <w:pPr>
        <w:ind w:right="-1190"/>
        <w:rPr>
          <w:b/>
          <w:u w:val="single"/>
        </w:rPr>
      </w:pPr>
      <w:r>
        <w:rPr>
          <w:b/>
          <w:u w:val="single"/>
        </w:rPr>
        <w:t>Kryteria oceny ofert współpracy:</w:t>
      </w:r>
    </w:p>
    <w:p w:rsidR="00745C78" w:rsidRDefault="00745C78" w:rsidP="00745C78">
      <w:pPr>
        <w:ind w:right="-1190"/>
        <w:rPr>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0"/>
        <w:gridCol w:w="5537"/>
        <w:gridCol w:w="3119"/>
      </w:tblGrid>
      <w:tr w:rsidR="00D310E0" w:rsidTr="00D310E0">
        <w:tc>
          <w:tcPr>
            <w:tcW w:w="770" w:type="dxa"/>
            <w:tcBorders>
              <w:top w:val="single" w:sz="4" w:space="0" w:color="auto"/>
              <w:left w:val="single" w:sz="4" w:space="0" w:color="auto"/>
              <w:bottom w:val="single" w:sz="4" w:space="0" w:color="auto"/>
              <w:right w:val="single" w:sz="4" w:space="0" w:color="auto"/>
            </w:tcBorders>
            <w:hideMark/>
          </w:tcPr>
          <w:p w:rsidR="00D310E0" w:rsidRDefault="00D310E0">
            <w:pPr>
              <w:jc w:val="both"/>
              <w:rPr>
                <w:b/>
              </w:rPr>
            </w:pPr>
            <w:r>
              <w:rPr>
                <w:b/>
              </w:rPr>
              <w:t>Lp.</w:t>
            </w:r>
          </w:p>
        </w:tc>
        <w:tc>
          <w:tcPr>
            <w:tcW w:w="5537" w:type="dxa"/>
            <w:tcBorders>
              <w:top w:val="single" w:sz="4" w:space="0" w:color="auto"/>
              <w:left w:val="single" w:sz="4" w:space="0" w:color="auto"/>
              <w:bottom w:val="single" w:sz="4" w:space="0" w:color="auto"/>
              <w:right w:val="single" w:sz="4" w:space="0" w:color="auto"/>
            </w:tcBorders>
            <w:hideMark/>
          </w:tcPr>
          <w:p w:rsidR="00D310E0" w:rsidRDefault="00D310E0">
            <w:pPr>
              <w:jc w:val="center"/>
              <w:rPr>
                <w:b/>
              </w:rPr>
            </w:pPr>
            <w:r>
              <w:rPr>
                <w:b/>
              </w:rPr>
              <w:t>Kryteria oceny</w:t>
            </w:r>
          </w:p>
        </w:tc>
        <w:tc>
          <w:tcPr>
            <w:tcW w:w="3119" w:type="dxa"/>
            <w:tcBorders>
              <w:top w:val="single" w:sz="4" w:space="0" w:color="auto"/>
              <w:left w:val="single" w:sz="4" w:space="0" w:color="auto"/>
              <w:bottom w:val="single" w:sz="4" w:space="0" w:color="auto"/>
              <w:right w:val="single" w:sz="4" w:space="0" w:color="auto"/>
            </w:tcBorders>
          </w:tcPr>
          <w:p w:rsidR="00D310E0" w:rsidRDefault="00D310E0">
            <w:pPr>
              <w:jc w:val="center"/>
              <w:rPr>
                <w:b/>
              </w:rPr>
            </w:pPr>
            <w:r>
              <w:rPr>
                <w:b/>
              </w:rPr>
              <w:t xml:space="preserve">Punktacja </w:t>
            </w:r>
          </w:p>
        </w:tc>
      </w:tr>
      <w:tr w:rsidR="00D310E0" w:rsidTr="00D310E0">
        <w:tc>
          <w:tcPr>
            <w:tcW w:w="770" w:type="dxa"/>
            <w:tcBorders>
              <w:top w:val="single" w:sz="4" w:space="0" w:color="auto"/>
              <w:left w:val="single" w:sz="4" w:space="0" w:color="auto"/>
              <w:bottom w:val="single" w:sz="4" w:space="0" w:color="auto"/>
              <w:right w:val="single" w:sz="4" w:space="0" w:color="auto"/>
            </w:tcBorders>
            <w:hideMark/>
          </w:tcPr>
          <w:p w:rsidR="00D310E0" w:rsidRDefault="00D310E0">
            <w:pPr>
              <w:jc w:val="both"/>
              <w:rPr>
                <w:b/>
              </w:rPr>
            </w:pPr>
            <w:r>
              <w:rPr>
                <w:b/>
              </w:rPr>
              <w:t>1.</w:t>
            </w:r>
          </w:p>
        </w:tc>
        <w:tc>
          <w:tcPr>
            <w:tcW w:w="5537" w:type="dxa"/>
            <w:tcBorders>
              <w:top w:val="single" w:sz="4" w:space="0" w:color="auto"/>
              <w:left w:val="single" w:sz="4" w:space="0" w:color="auto"/>
              <w:bottom w:val="single" w:sz="4" w:space="0" w:color="auto"/>
              <w:right w:val="single" w:sz="4" w:space="0" w:color="auto"/>
            </w:tcBorders>
          </w:tcPr>
          <w:p w:rsidR="00D310E0" w:rsidRDefault="00D310E0">
            <w:pPr>
              <w:jc w:val="center"/>
              <w:rPr>
                <w:b/>
              </w:rPr>
            </w:pPr>
            <w:r>
              <w:rPr>
                <w:b/>
              </w:rPr>
              <w:t>Dotyczące oferenta</w:t>
            </w:r>
          </w:p>
          <w:p w:rsidR="00D310E0" w:rsidRDefault="00D310E0">
            <w:pPr>
              <w:jc w:val="center"/>
              <w:rPr>
                <w:b/>
              </w:rPr>
            </w:pPr>
          </w:p>
        </w:tc>
        <w:tc>
          <w:tcPr>
            <w:tcW w:w="3119" w:type="dxa"/>
            <w:tcBorders>
              <w:top w:val="single" w:sz="4" w:space="0" w:color="auto"/>
              <w:left w:val="single" w:sz="4" w:space="0" w:color="auto"/>
              <w:bottom w:val="single" w:sz="4" w:space="0" w:color="auto"/>
              <w:right w:val="single" w:sz="4" w:space="0" w:color="auto"/>
            </w:tcBorders>
          </w:tcPr>
          <w:p w:rsidR="00D310E0" w:rsidRDefault="00D310E0">
            <w:pPr>
              <w:jc w:val="center"/>
              <w:rPr>
                <w:b/>
              </w:rPr>
            </w:pPr>
          </w:p>
        </w:tc>
      </w:tr>
      <w:tr w:rsidR="00D310E0" w:rsidTr="00942A2E">
        <w:trPr>
          <w:cantSplit/>
          <w:trHeight w:val="427"/>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pPr>
              <w:jc w:val="both"/>
              <w:rPr>
                <w:b/>
              </w:rPr>
            </w:pPr>
            <w:r>
              <w:rPr>
                <w:b/>
              </w:rPr>
              <w:t>1.1.</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0370BA" w:rsidP="00322A6F">
            <w:r>
              <w:t>Pozytywnie oceniona współpraca z administracją publiczną, w tym ocena realizacji projektów w latach ubiegłych.</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322A6F" w:rsidP="00322A6F">
            <w:pPr>
              <w:jc w:val="center"/>
            </w:pPr>
            <w:r>
              <w:t>0-2 pkt.</w:t>
            </w:r>
          </w:p>
        </w:tc>
      </w:tr>
      <w:tr w:rsidR="00322A6F" w:rsidTr="00322A6F">
        <w:trPr>
          <w:cantSplit/>
        </w:trPr>
        <w:tc>
          <w:tcPr>
            <w:tcW w:w="770" w:type="dxa"/>
            <w:tcBorders>
              <w:top w:val="single" w:sz="4" w:space="0" w:color="auto"/>
              <w:left w:val="single" w:sz="4" w:space="0" w:color="auto"/>
              <w:bottom w:val="single" w:sz="4" w:space="0" w:color="auto"/>
              <w:right w:val="single" w:sz="4" w:space="0" w:color="auto"/>
            </w:tcBorders>
            <w:hideMark/>
          </w:tcPr>
          <w:p w:rsidR="00322A6F" w:rsidRDefault="00322A6F">
            <w:pPr>
              <w:jc w:val="both"/>
              <w:rPr>
                <w:b/>
              </w:rPr>
            </w:pPr>
            <w:r>
              <w:rPr>
                <w:b/>
              </w:rPr>
              <w:t>1.2.</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322A6F" w:rsidRDefault="00322A6F">
            <w:r>
              <w:t>Dotychczasowa aktywność, doświadczenie w realizacji projektów w zakresie działań na rzecz ekologii i ochrony zwierząt oraz ochrony dziedzictwa przyrodniczego</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322A6F" w:rsidRDefault="00322A6F" w:rsidP="00322A6F">
            <w:pPr>
              <w:jc w:val="center"/>
            </w:pPr>
            <w:r>
              <w:t>0-3</w:t>
            </w:r>
          </w:p>
        </w:tc>
      </w:tr>
      <w:tr w:rsidR="00D310E0" w:rsidTr="00322A6F">
        <w:trPr>
          <w:cantSplit/>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rsidP="00322A6F">
            <w:pPr>
              <w:jc w:val="both"/>
              <w:rPr>
                <w:b/>
              </w:rPr>
            </w:pPr>
            <w:r>
              <w:rPr>
                <w:b/>
              </w:rPr>
              <w:t>1.</w:t>
            </w:r>
            <w:r w:rsidR="00322A6F">
              <w:rPr>
                <w:b/>
              </w:rPr>
              <w:t>3</w:t>
            </w:r>
            <w:r>
              <w:rPr>
                <w:b/>
              </w:rPr>
              <w:t>.</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r>
              <w:t>Premiowanie organizacji startujących wymagających wzmocnienia</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CF5084" w:rsidP="00322A6F">
            <w:pPr>
              <w:jc w:val="center"/>
            </w:pPr>
            <w:r>
              <w:t>0-1 pkt.</w:t>
            </w:r>
          </w:p>
        </w:tc>
      </w:tr>
      <w:tr w:rsidR="008D0BDA" w:rsidTr="00322A6F">
        <w:trPr>
          <w:cantSplit/>
        </w:trPr>
        <w:tc>
          <w:tcPr>
            <w:tcW w:w="770" w:type="dxa"/>
            <w:vMerge w:val="restart"/>
            <w:tcBorders>
              <w:top w:val="single" w:sz="4" w:space="0" w:color="auto"/>
              <w:left w:val="single" w:sz="4" w:space="0" w:color="auto"/>
              <w:right w:val="single" w:sz="4" w:space="0" w:color="auto"/>
            </w:tcBorders>
            <w:hideMark/>
          </w:tcPr>
          <w:p w:rsidR="008D0BDA" w:rsidRDefault="008D0BDA">
            <w:pPr>
              <w:jc w:val="both"/>
              <w:rPr>
                <w:b/>
              </w:rPr>
            </w:pPr>
            <w:r>
              <w:rPr>
                <w:b/>
              </w:rPr>
              <w:t>1.</w:t>
            </w:r>
            <w:r w:rsidR="00322A6F">
              <w:rPr>
                <w:b/>
              </w:rPr>
              <w:t>4</w:t>
            </w:r>
            <w:r>
              <w:rPr>
                <w:b/>
              </w:rPr>
              <w:t>.</w:t>
            </w:r>
          </w:p>
          <w:p w:rsidR="008D0BDA" w:rsidRDefault="008D0BDA" w:rsidP="008D0BDA">
            <w:pPr>
              <w:jc w:val="both"/>
              <w:rPr>
                <w:b/>
              </w:rPr>
            </w:pPr>
            <w:r>
              <w:rPr>
                <w:b/>
              </w:rPr>
              <w:t xml:space="preserve"> </w:t>
            </w:r>
          </w:p>
          <w:p w:rsidR="008D0BDA" w:rsidRDefault="008D0BDA">
            <w:pPr>
              <w:jc w:val="both"/>
              <w:rPr>
                <w:b/>
              </w:rPr>
            </w:pPr>
            <w:r>
              <w:rPr>
                <w:b/>
              </w:rPr>
              <w:t xml:space="preserve"> </w:t>
            </w:r>
          </w:p>
          <w:p w:rsidR="008D0BDA" w:rsidRDefault="008D0BDA" w:rsidP="00E220E9">
            <w:pPr>
              <w:jc w:val="both"/>
              <w:rPr>
                <w:b/>
              </w:rPr>
            </w:pPr>
            <w:r>
              <w:rPr>
                <w:b/>
              </w:rPr>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8D0BDA" w:rsidRDefault="008D0BDA">
            <w:pPr>
              <w:jc w:val="both"/>
            </w:pPr>
            <w:r>
              <w:t>Zasoby do realizacji przedsięwzięcia</w:t>
            </w:r>
          </w:p>
        </w:tc>
        <w:tc>
          <w:tcPr>
            <w:tcW w:w="3119" w:type="dxa"/>
            <w:vMerge w:val="restart"/>
            <w:tcBorders>
              <w:top w:val="single" w:sz="4" w:space="0" w:color="auto"/>
              <w:left w:val="single" w:sz="4" w:space="0" w:color="auto"/>
              <w:right w:val="single" w:sz="4" w:space="0" w:color="auto"/>
            </w:tcBorders>
            <w:shd w:val="clear" w:color="auto" w:fill="C0C0C0"/>
          </w:tcPr>
          <w:p w:rsidR="008D0BDA" w:rsidRDefault="008D0BDA" w:rsidP="00322A6F">
            <w:pPr>
              <w:jc w:val="center"/>
            </w:pPr>
            <w:r>
              <w:t>0-3 pkt.</w:t>
            </w:r>
          </w:p>
        </w:tc>
      </w:tr>
      <w:tr w:rsidR="008D0BDA" w:rsidTr="00322A6F">
        <w:trPr>
          <w:cantSplit/>
        </w:trPr>
        <w:tc>
          <w:tcPr>
            <w:tcW w:w="770" w:type="dxa"/>
            <w:vMerge/>
            <w:tcBorders>
              <w:left w:val="single" w:sz="4" w:space="0" w:color="auto"/>
              <w:right w:val="single" w:sz="4" w:space="0" w:color="auto"/>
            </w:tcBorders>
            <w:hideMark/>
          </w:tcPr>
          <w:p w:rsidR="008D0BDA" w:rsidRDefault="008D0BDA" w:rsidP="00E220E9">
            <w:pPr>
              <w:jc w:val="both"/>
              <w:rPr>
                <w:b/>
              </w:rPr>
            </w:pP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8D0BDA" w:rsidRDefault="008D0BDA">
            <w:pPr>
              <w:jc w:val="both"/>
            </w:pPr>
            <w:r>
              <w:t>-Rzeczowe</w:t>
            </w:r>
          </w:p>
        </w:tc>
        <w:tc>
          <w:tcPr>
            <w:tcW w:w="3119" w:type="dxa"/>
            <w:vMerge/>
            <w:tcBorders>
              <w:left w:val="single" w:sz="4" w:space="0" w:color="auto"/>
              <w:right w:val="single" w:sz="4" w:space="0" w:color="auto"/>
            </w:tcBorders>
            <w:shd w:val="clear" w:color="auto" w:fill="C0C0C0"/>
          </w:tcPr>
          <w:p w:rsidR="008D0BDA" w:rsidRDefault="008D0BDA" w:rsidP="00322A6F">
            <w:pPr>
              <w:jc w:val="center"/>
            </w:pPr>
          </w:p>
        </w:tc>
      </w:tr>
      <w:tr w:rsidR="008D0BDA" w:rsidTr="00322A6F">
        <w:trPr>
          <w:cantSplit/>
        </w:trPr>
        <w:tc>
          <w:tcPr>
            <w:tcW w:w="770" w:type="dxa"/>
            <w:vMerge/>
            <w:tcBorders>
              <w:left w:val="single" w:sz="4" w:space="0" w:color="auto"/>
              <w:right w:val="single" w:sz="4" w:space="0" w:color="auto"/>
            </w:tcBorders>
            <w:hideMark/>
          </w:tcPr>
          <w:p w:rsidR="008D0BDA" w:rsidRDefault="008D0BDA" w:rsidP="00E220E9">
            <w:pPr>
              <w:jc w:val="both"/>
              <w:rPr>
                <w:b/>
              </w:rPr>
            </w:pP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8D0BDA" w:rsidRDefault="008D0BDA" w:rsidP="008D0BDA">
            <w:pPr>
              <w:jc w:val="both"/>
            </w:pPr>
            <w:r>
              <w:t>-Kadrowe</w:t>
            </w:r>
          </w:p>
        </w:tc>
        <w:tc>
          <w:tcPr>
            <w:tcW w:w="3119" w:type="dxa"/>
            <w:vMerge/>
            <w:tcBorders>
              <w:left w:val="single" w:sz="4" w:space="0" w:color="auto"/>
              <w:right w:val="single" w:sz="4" w:space="0" w:color="auto"/>
            </w:tcBorders>
            <w:shd w:val="clear" w:color="auto" w:fill="C0C0C0"/>
          </w:tcPr>
          <w:p w:rsidR="008D0BDA" w:rsidRDefault="008D0BDA" w:rsidP="00322A6F">
            <w:pPr>
              <w:jc w:val="center"/>
            </w:pPr>
          </w:p>
        </w:tc>
      </w:tr>
      <w:tr w:rsidR="008D0BDA" w:rsidTr="00322A6F">
        <w:trPr>
          <w:cantSplit/>
        </w:trPr>
        <w:tc>
          <w:tcPr>
            <w:tcW w:w="770" w:type="dxa"/>
            <w:vMerge/>
            <w:tcBorders>
              <w:left w:val="single" w:sz="4" w:space="0" w:color="auto"/>
              <w:bottom w:val="single" w:sz="4" w:space="0" w:color="auto"/>
              <w:right w:val="single" w:sz="4" w:space="0" w:color="auto"/>
            </w:tcBorders>
            <w:hideMark/>
          </w:tcPr>
          <w:p w:rsidR="008D0BDA" w:rsidRDefault="008D0BDA">
            <w:pPr>
              <w:jc w:val="both"/>
              <w:rPr>
                <w:b/>
              </w:rPr>
            </w:pP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8D0BDA" w:rsidRDefault="008D0BDA">
            <w:pPr>
              <w:jc w:val="both"/>
            </w:pPr>
            <w:r>
              <w:t>-Finansowe</w:t>
            </w:r>
          </w:p>
        </w:tc>
        <w:tc>
          <w:tcPr>
            <w:tcW w:w="3119" w:type="dxa"/>
            <w:vMerge/>
            <w:tcBorders>
              <w:left w:val="single" w:sz="4" w:space="0" w:color="auto"/>
              <w:bottom w:val="single" w:sz="4" w:space="0" w:color="auto"/>
              <w:right w:val="single" w:sz="4" w:space="0" w:color="auto"/>
            </w:tcBorders>
            <w:shd w:val="clear" w:color="auto" w:fill="C0C0C0"/>
          </w:tcPr>
          <w:p w:rsidR="008D0BDA" w:rsidRDefault="008D0BDA" w:rsidP="00322A6F">
            <w:pPr>
              <w:jc w:val="center"/>
            </w:pPr>
          </w:p>
        </w:tc>
      </w:tr>
      <w:tr w:rsidR="00D310E0" w:rsidTr="00322A6F">
        <w:trPr>
          <w:cantSplit/>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pPr>
              <w:jc w:val="both"/>
              <w:rPr>
                <w:b/>
              </w:rPr>
            </w:pPr>
            <w:r>
              <w:rPr>
                <w:b/>
              </w:rPr>
              <w:t>2</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pPr>
              <w:pStyle w:val="NormalnyWeb"/>
              <w:rPr>
                <w:b/>
              </w:rPr>
            </w:pPr>
            <w:r>
              <w:rPr>
                <w:b/>
              </w:rPr>
              <w:t>Dotyczące oferty współpracy</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D310E0" w:rsidP="00322A6F">
            <w:pPr>
              <w:pStyle w:val="NormalnyWeb"/>
              <w:jc w:val="center"/>
              <w:rPr>
                <w:b/>
              </w:rPr>
            </w:pPr>
          </w:p>
        </w:tc>
      </w:tr>
      <w:tr w:rsidR="00D310E0" w:rsidTr="00322A6F">
        <w:trPr>
          <w:cantSplit/>
          <w:trHeight w:val="711"/>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pPr>
              <w:jc w:val="both"/>
              <w:rPr>
                <w:b/>
              </w:rPr>
            </w:pPr>
            <w:r>
              <w:rPr>
                <w:b/>
              </w:rPr>
              <w:t>2.1.</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rsidP="00D310E0">
            <w:pPr>
              <w:pStyle w:val="NormalnyWeb"/>
            </w:pPr>
            <w:r>
              <w:t xml:space="preserve">Zgodność zawartości merytorycznej oferty z priorytetami polityki regionalnej samorządu województwa  </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CF5084" w:rsidP="00322A6F">
            <w:pPr>
              <w:pStyle w:val="NormalnyWeb"/>
              <w:jc w:val="center"/>
            </w:pPr>
            <w:r>
              <w:t>0-1 pkt.</w:t>
            </w:r>
          </w:p>
        </w:tc>
      </w:tr>
      <w:tr w:rsidR="00D310E0" w:rsidTr="00322A6F">
        <w:trPr>
          <w:cantSplit/>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rsidP="00AE7A8A">
            <w:pPr>
              <w:jc w:val="both"/>
              <w:rPr>
                <w:b/>
              </w:rPr>
            </w:pPr>
            <w:r>
              <w:rPr>
                <w:b/>
              </w:rPr>
              <w:t>2.</w:t>
            </w:r>
            <w:r w:rsidR="00AE7A8A">
              <w:rPr>
                <w:b/>
              </w:rPr>
              <w:t>2</w:t>
            </w:r>
            <w:r>
              <w:rPr>
                <w:b/>
              </w:rPr>
              <w:t>.</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pPr>
              <w:jc w:val="both"/>
            </w:pPr>
            <w:r>
              <w:t>Zasięg terytorialny efektu oddziaływania</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CF5084" w:rsidP="00322A6F">
            <w:pPr>
              <w:jc w:val="center"/>
            </w:pPr>
            <w:r>
              <w:t>0-3 pkt.</w:t>
            </w:r>
          </w:p>
        </w:tc>
      </w:tr>
      <w:tr w:rsidR="00D310E0" w:rsidTr="00322A6F">
        <w:trPr>
          <w:cantSplit/>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rsidP="00AE7A8A">
            <w:pPr>
              <w:jc w:val="both"/>
              <w:rPr>
                <w:b/>
              </w:rPr>
            </w:pPr>
            <w:r>
              <w:rPr>
                <w:b/>
              </w:rPr>
              <w:t>2.</w:t>
            </w:r>
            <w:r w:rsidR="00AE7A8A">
              <w:rPr>
                <w:b/>
              </w:rPr>
              <w:t>3</w:t>
            </w:r>
            <w:r>
              <w:rPr>
                <w:b/>
              </w:rPr>
              <w:t>.</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rsidP="00CF5084">
            <w:pPr>
              <w:jc w:val="both"/>
            </w:pPr>
            <w:r>
              <w:t xml:space="preserve">Kalkulacja kosztów </w:t>
            </w:r>
            <w:r w:rsidR="00CF5084">
              <w:t>:</w:t>
            </w:r>
          </w:p>
          <w:p w:rsidR="00CF5084" w:rsidRDefault="00CF5084" w:rsidP="00CF5084">
            <w:pPr>
              <w:jc w:val="both"/>
            </w:pPr>
            <w:r>
              <w:t>- wysokość deklarowanych środków własnych,</w:t>
            </w:r>
          </w:p>
          <w:p w:rsidR="00CF5084" w:rsidRDefault="00CF5084" w:rsidP="00CF5084">
            <w:pPr>
              <w:jc w:val="both"/>
            </w:pPr>
            <w:r>
              <w:t xml:space="preserve">- </w:t>
            </w:r>
            <w:r w:rsidR="00AE7A8A">
              <w:t>ilość źródeł finansowania</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AE7A8A" w:rsidP="00322A6F">
            <w:pPr>
              <w:jc w:val="center"/>
            </w:pPr>
            <w:r>
              <w:t>0-4 pkt.</w:t>
            </w:r>
          </w:p>
        </w:tc>
      </w:tr>
      <w:tr w:rsidR="00D310E0" w:rsidTr="00322A6F">
        <w:trPr>
          <w:cantSplit/>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rsidP="00AE7A8A">
            <w:pPr>
              <w:jc w:val="both"/>
              <w:rPr>
                <w:b/>
              </w:rPr>
            </w:pPr>
            <w:r>
              <w:rPr>
                <w:b/>
              </w:rPr>
              <w:t>2.</w:t>
            </w:r>
            <w:r w:rsidR="00AE7A8A">
              <w:rPr>
                <w:b/>
              </w:rPr>
              <w:t>4</w:t>
            </w:r>
            <w:r>
              <w:rPr>
                <w:b/>
              </w:rPr>
              <w:t>.</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rsidP="00CF5084">
            <w:pPr>
              <w:jc w:val="both"/>
            </w:pPr>
            <w:r>
              <w:t xml:space="preserve">Liczba </w:t>
            </w:r>
            <w:r w:rsidR="00CF5084">
              <w:t>partnerów uczestniczących w realizacji projektu</w:t>
            </w:r>
            <w: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CF5084" w:rsidP="00322A6F">
            <w:pPr>
              <w:jc w:val="center"/>
            </w:pPr>
            <w:r>
              <w:t>0-2 pkt.</w:t>
            </w:r>
          </w:p>
        </w:tc>
      </w:tr>
      <w:tr w:rsidR="00D310E0" w:rsidTr="00322A6F">
        <w:trPr>
          <w:cantSplit/>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rsidP="00AE7A8A">
            <w:pPr>
              <w:jc w:val="both"/>
              <w:rPr>
                <w:b/>
              </w:rPr>
            </w:pPr>
            <w:r>
              <w:rPr>
                <w:b/>
              </w:rPr>
              <w:t>2.</w:t>
            </w:r>
            <w:r w:rsidR="00AE7A8A">
              <w:rPr>
                <w:b/>
              </w:rPr>
              <w:t>5</w:t>
            </w:r>
            <w:r>
              <w:rPr>
                <w:b/>
              </w:rPr>
              <w:t>.</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pPr>
              <w:jc w:val="both"/>
            </w:pPr>
            <w:r>
              <w:t>Innowacyjność projektu</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8D0BDA" w:rsidP="00322A6F">
            <w:pPr>
              <w:jc w:val="center"/>
            </w:pPr>
            <w:r>
              <w:t>0-1 pkt.</w:t>
            </w:r>
          </w:p>
        </w:tc>
      </w:tr>
      <w:tr w:rsidR="00D310E0" w:rsidTr="00322A6F">
        <w:trPr>
          <w:trHeight w:val="257"/>
        </w:trPr>
        <w:tc>
          <w:tcPr>
            <w:tcW w:w="770" w:type="dxa"/>
            <w:tcBorders>
              <w:top w:val="single" w:sz="4" w:space="0" w:color="auto"/>
              <w:left w:val="single" w:sz="4" w:space="0" w:color="auto"/>
              <w:bottom w:val="single" w:sz="4" w:space="0" w:color="auto"/>
              <w:right w:val="single" w:sz="4" w:space="0" w:color="auto"/>
            </w:tcBorders>
            <w:hideMark/>
          </w:tcPr>
          <w:p w:rsidR="00D310E0" w:rsidRDefault="00D310E0" w:rsidP="00AE7A8A">
            <w:pPr>
              <w:jc w:val="both"/>
              <w:rPr>
                <w:b/>
              </w:rPr>
            </w:pPr>
            <w:r>
              <w:rPr>
                <w:b/>
              </w:rPr>
              <w:t>2.</w:t>
            </w:r>
            <w:r w:rsidR="00AE7A8A">
              <w:rPr>
                <w:b/>
              </w:rPr>
              <w:t>6</w:t>
            </w:r>
            <w:r>
              <w:rPr>
                <w:b/>
              </w:rPr>
              <w:t>.</w:t>
            </w: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D310E0" w:rsidRDefault="00D310E0">
            <w:pPr>
              <w:jc w:val="both"/>
            </w:pPr>
            <w:r>
              <w:t>Perspektywa kontynuacji projektu</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D310E0" w:rsidRDefault="00CF5084" w:rsidP="00322A6F">
            <w:pPr>
              <w:jc w:val="center"/>
            </w:pPr>
            <w:r>
              <w:t>0-2 pkt.</w:t>
            </w:r>
          </w:p>
        </w:tc>
      </w:tr>
      <w:tr w:rsidR="00322A6F" w:rsidTr="00322A6F">
        <w:trPr>
          <w:trHeight w:val="257"/>
        </w:trPr>
        <w:tc>
          <w:tcPr>
            <w:tcW w:w="770" w:type="dxa"/>
            <w:tcBorders>
              <w:top w:val="single" w:sz="4" w:space="0" w:color="auto"/>
              <w:left w:val="single" w:sz="4" w:space="0" w:color="auto"/>
              <w:bottom w:val="single" w:sz="4" w:space="0" w:color="auto"/>
              <w:right w:val="single" w:sz="4" w:space="0" w:color="auto"/>
            </w:tcBorders>
            <w:hideMark/>
          </w:tcPr>
          <w:p w:rsidR="00322A6F" w:rsidRDefault="00322A6F" w:rsidP="00AE7A8A">
            <w:pPr>
              <w:jc w:val="both"/>
              <w:rPr>
                <w:b/>
              </w:rPr>
            </w:pPr>
          </w:p>
        </w:tc>
        <w:tc>
          <w:tcPr>
            <w:tcW w:w="5537" w:type="dxa"/>
            <w:tcBorders>
              <w:top w:val="single" w:sz="4" w:space="0" w:color="auto"/>
              <w:left w:val="single" w:sz="4" w:space="0" w:color="auto"/>
              <w:bottom w:val="single" w:sz="4" w:space="0" w:color="auto"/>
              <w:right w:val="single" w:sz="4" w:space="0" w:color="auto"/>
            </w:tcBorders>
            <w:shd w:val="clear" w:color="auto" w:fill="C0C0C0"/>
            <w:hideMark/>
          </w:tcPr>
          <w:p w:rsidR="00322A6F" w:rsidRPr="00322A6F" w:rsidRDefault="00322A6F" w:rsidP="00322A6F">
            <w:pPr>
              <w:jc w:val="center"/>
              <w:rPr>
                <w:b/>
              </w:rPr>
            </w:pPr>
            <w:r w:rsidRPr="00322A6F">
              <w:rPr>
                <w:b/>
              </w:rPr>
              <w:t>Ogółem maksymalnie:</w:t>
            </w:r>
          </w:p>
        </w:tc>
        <w:tc>
          <w:tcPr>
            <w:tcW w:w="3119" w:type="dxa"/>
            <w:tcBorders>
              <w:top w:val="single" w:sz="4" w:space="0" w:color="auto"/>
              <w:left w:val="single" w:sz="4" w:space="0" w:color="auto"/>
              <w:bottom w:val="single" w:sz="4" w:space="0" w:color="auto"/>
              <w:right w:val="single" w:sz="4" w:space="0" w:color="auto"/>
            </w:tcBorders>
            <w:shd w:val="clear" w:color="auto" w:fill="C0C0C0"/>
          </w:tcPr>
          <w:p w:rsidR="00322A6F" w:rsidRPr="00322A6F" w:rsidRDefault="00322A6F" w:rsidP="00322A6F">
            <w:pPr>
              <w:jc w:val="center"/>
              <w:rPr>
                <w:b/>
              </w:rPr>
            </w:pPr>
            <w:r w:rsidRPr="00322A6F">
              <w:rPr>
                <w:b/>
              </w:rPr>
              <w:t>22 pkt.</w:t>
            </w:r>
          </w:p>
        </w:tc>
      </w:tr>
    </w:tbl>
    <w:p w:rsidR="00745C78" w:rsidRDefault="00745C78" w:rsidP="00745C78">
      <w:pPr>
        <w:jc w:val="both"/>
        <w:rPr>
          <w:b/>
        </w:rPr>
      </w:pPr>
    </w:p>
    <w:p w:rsidR="00745C78" w:rsidRDefault="00745C78" w:rsidP="00745C78">
      <w:pPr>
        <w:jc w:val="both"/>
        <w:rPr>
          <w:b/>
        </w:rPr>
      </w:pPr>
    </w:p>
    <w:p w:rsidR="00745C78" w:rsidRDefault="00745C78" w:rsidP="00745C78">
      <w:pPr>
        <w:jc w:val="both"/>
      </w:pPr>
      <w:r>
        <w:t>W 20</w:t>
      </w:r>
      <w:r w:rsidR="00EF4341">
        <w:t>10</w:t>
      </w:r>
      <w:r>
        <w:t xml:space="preserve"> roku na realizację w/w zadań z zakresu działań na rzecz ekologii i ochrony zwierząt oraz ochrony dziedzictwa przyrodniczego Samorząd Województwa prze</w:t>
      </w:r>
      <w:r w:rsidR="001E0C81">
        <w:t xml:space="preserve">znaczył dotację </w:t>
      </w:r>
      <w:r w:rsidR="001E0C81">
        <w:br/>
        <w:t xml:space="preserve">w wysokości – 60 </w:t>
      </w:r>
      <w:r>
        <w:t>000,00 zł.</w:t>
      </w:r>
    </w:p>
    <w:p w:rsidR="00745C78" w:rsidRDefault="00745C78" w:rsidP="00745C78">
      <w:pPr>
        <w:jc w:val="both"/>
        <w:rPr>
          <w:b/>
        </w:rPr>
      </w:pPr>
    </w:p>
    <w:p w:rsidR="001E0C81" w:rsidRDefault="001E0C81" w:rsidP="00745C78">
      <w:pPr>
        <w:jc w:val="both"/>
        <w:rPr>
          <w:b/>
        </w:rPr>
      </w:pPr>
    </w:p>
    <w:p w:rsidR="001E0C81" w:rsidRDefault="001E0C81" w:rsidP="00745C78">
      <w:pPr>
        <w:jc w:val="both"/>
        <w:rPr>
          <w:b/>
        </w:rPr>
      </w:pPr>
    </w:p>
    <w:p w:rsidR="001E0C81" w:rsidRDefault="001E0C81" w:rsidP="00745C78">
      <w:pPr>
        <w:jc w:val="both"/>
        <w:rPr>
          <w:b/>
        </w:rPr>
      </w:pPr>
    </w:p>
    <w:p w:rsidR="00745C78" w:rsidRDefault="00745C78" w:rsidP="00745C78">
      <w:pPr>
        <w:jc w:val="both"/>
        <w:rPr>
          <w:b/>
          <w:u w:val="single"/>
        </w:rPr>
      </w:pPr>
      <w:r>
        <w:rPr>
          <w:b/>
          <w:u w:val="single"/>
        </w:rPr>
        <w:lastRenderedPageBreak/>
        <w:t>Terminy składania i realizacji zadań</w:t>
      </w:r>
    </w:p>
    <w:p w:rsidR="00745C78" w:rsidRPr="001E0C81" w:rsidRDefault="00745C78" w:rsidP="00DB227C">
      <w:pPr>
        <w:jc w:val="both"/>
        <w:rPr>
          <w:sz w:val="16"/>
          <w:szCs w:val="16"/>
        </w:rPr>
      </w:pPr>
    </w:p>
    <w:p w:rsidR="00745C78" w:rsidRPr="00322A6F" w:rsidRDefault="00745C78" w:rsidP="00745C78">
      <w:pPr>
        <w:numPr>
          <w:ilvl w:val="0"/>
          <w:numId w:val="4"/>
        </w:numPr>
        <w:tabs>
          <w:tab w:val="num" w:pos="360"/>
        </w:tabs>
        <w:ind w:left="360"/>
        <w:jc w:val="both"/>
        <w:rPr>
          <w:b/>
        </w:rPr>
      </w:pPr>
      <w:r>
        <w:t>Dofinansowanie realizacji zadania przez Samorząd Województwa Świętokrzyskiego obejmuje realizację zadania w okresie od dnia podpisani</w:t>
      </w:r>
      <w:r w:rsidR="00DB227C">
        <w:t xml:space="preserve">a umowy do dnia </w:t>
      </w:r>
      <w:r w:rsidR="00DB227C" w:rsidRPr="00322A6F">
        <w:rPr>
          <w:b/>
        </w:rPr>
        <w:t>3</w:t>
      </w:r>
      <w:r w:rsidR="006C7702">
        <w:rPr>
          <w:b/>
        </w:rPr>
        <w:t>1</w:t>
      </w:r>
      <w:r w:rsidR="00DB227C" w:rsidRPr="00322A6F">
        <w:rPr>
          <w:b/>
        </w:rPr>
        <w:t xml:space="preserve"> </w:t>
      </w:r>
      <w:r w:rsidR="006C7702">
        <w:rPr>
          <w:b/>
        </w:rPr>
        <w:t>grudnia</w:t>
      </w:r>
      <w:r w:rsidR="00DB227C" w:rsidRPr="00322A6F">
        <w:rPr>
          <w:b/>
        </w:rPr>
        <w:t xml:space="preserve"> 201</w:t>
      </w:r>
      <w:r w:rsidR="006C7702">
        <w:rPr>
          <w:b/>
        </w:rPr>
        <w:t>1</w:t>
      </w:r>
      <w:r w:rsidRPr="00322A6F">
        <w:rPr>
          <w:b/>
        </w:rPr>
        <w:t>r.</w:t>
      </w:r>
    </w:p>
    <w:p w:rsidR="00745C78" w:rsidRDefault="00745C78" w:rsidP="00745C78">
      <w:pPr>
        <w:numPr>
          <w:ilvl w:val="0"/>
          <w:numId w:val="4"/>
        </w:numPr>
        <w:tabs>
          <w:tab w:val="num" w:pos="360"/>
        </w:tabs>
        <w:ind w:left="360"/>
        <w:jc w:val="both"/>
        <w:rPr>
          <w:i/>
          <w:u w:val="single"/>
        </w:rPr>
      </w:pPr>
      <w:r>
        <w:t>Kompletne oferty należy składać w zaklejonych i opieczętowanych kopertach z dopiskiem „</w:t>
      </w:r>
      <w:r>
        <w:rPr>
          <w:i/>
        </w:rPr>
        <w:t>Konkurs ofert i podać nazwę zadania</w:t>
      </w:r>
      <w:r>
        <w:rPr>
          <w:b/>
          <w:i/>
        </w:rPr>
        <w:t>”</w:t>
      </w:r>
    </w:p>
    <w:p w:rsidR="00745C78" w:rsidRDefault="00745C78" w:rsidP="00745C78">
      <w:pPr>
        <w:pStyle w:val="Tekstpodstawowy"/>
        <w:ind w:left="720" w:hanging="360"/>
        <w:jc w:val="both"/>
        <w:rPr>
          <w:i/>
          <w:sz w:val="16"/>
          <w:szCs w:val="16"/>
        </w:rPr>
      </w:pPr>
      <w:r>
        <w:rPr>
          <w:i/>
          <w:sz w:val="24"/>
        </w:rPr>
        <w:t>- Organizowanie konkursów, olimpiad, festiwali, konferencji i seminariów popularyzujących zagadnienia dotyczące ochrony środowiska i przyrody.</w:t>
      </w:r>
    </w:p>
    <w:p w:rsidR="00745C78" w:rsidRDefault="00745C78" w:rsidP="00745C78">
      <w:pPr>
        <w:pStyle w:val="Tekstpodstawowy"/>
        <w:ind w:left="720" w:hanging="360"/>
        <w:jc w:val="both"/>
        <w:rPr>
          <w:i/>
          <w:sz w:val="24"/>
        </w:rPr>
      </w:pPr>
      <w:r>
        <w:rPr>
          <w:i/>
          <w:sz w:val="24"/>
        </w:rPr>
        <w:t>- Opracowywanie i wydawanie niskonakładowych, niekomercyjnych materiałów wydawniczych związanych z ochroną środowiska.</w:t>
      </w:r>
    </w:p>
    <w:p w:rsidR="00745C78" w:rsidRPr="001E0C81" w:rsidRDefault="00745C78" w:rsidP="00745C78">
      <w:pPr>
        <w:pStyle w:val="Tekstpodstawowy"/>
        <w:ind w:left="540" w:hanging="180"/>
        <w:jc w:val="both"/>
        <w:rPr>
          <w:sz w:val="16"/>
          <w:szCs w:val="16"/>
        </w:rPr>
      </w:pPr>
    </w:p>
    <w:p w:rsidR="00745C78" w:rsidRDefault="00745C78" w:rsidP="00745C78">
      <w:pPr>
        <w:ind w:left="360"/>
        <w:jc w:val="both"/>
        <w:rPr>
          <w:i/>
          <w:u w:val="single"/>
        </w:rPr>
      </w:pPr>
      <w:r>
        <w:rPr>
          <w:b/>
          <w:i/>
        </w:rPr>
        <w:t xml:space="preserve"> w</w:t>
      </w:r>
      <w:r w:rsidR="00D23573">
        <w:rPr>
          <w:b/>
        </w:rPr>
        <w:t xml:space="preserve"> nieprzekraczalnym terminie 25</w:t>
      </w:r>
      <w:r>
        <w:rPr>
          <w:b/>
        </w:rPr>
        <w:t xml:space="preserve"> dni od dnia ogłoszenia</w:t>
      </w:r>
      <w:r>
        <w:t>, w sekretariacie Departamentu Rozwoju Obszarów Wiejskich i Środowiska Urzędu Marszałkowskiego Województwa Świętokrzyskiego Al. IX Wieków Kielc 3, 25-516 Kielce /</w:t>
      </w:r>
      <w:r>
        <w:rPr>
          <w:i/>
        </w:rPr>
        <w:t>Budynek C2,</w:t>
      </w:r>
      <w:r w:rsidR="00F63CF6">
        <w:rPr>
          <w:i/>
        </w:rPr>
        <w:br/>
      </w:r>
      <w:r>
        <w:rPr>
          <w:i/>
        </w:rPr>
        <w:t xml:space="preserve"> I piętro pok. 127 / </w:t>
      </w:r>
      <w:r>
        <w:t>lub pocztą /</w:t>
      </w:r>
      <w:r>
        <w:rPr>
          <w:i/>
        </w:rPr>
        <w:t>decyduje data stempla pocztowego/.</w:t>
      </w:r>
    </w:p>
    <w:p w:rsidR="00745C78" w:rsidRPr="00D4254C" w:rsidRDefault="00745C78" w:rsidP="00745C78">
      <w:pPr>
        <w:numPr>
          <w:ilvl w:val="0"/>
          <w:numId w:val="4"/>
        </w:numPr>
        <w:tabs>
          <w:tab w:val="num" w:pos="360"/>
        </w:tabs>
        <w:ind w:left="360"/>
        <w:jc w:val="both"/>
        <w:rPr>
          <w:u w:val="single"/>
        </w:rPr>
      </w:pPr>
      <w:r>
        <w:t xml:space="preserve">Złożone oferty </w:t>
      </w:r>
      <w:r w:rsidR="008368B0">
        <w:t>rozpatrzone zostaną w terminie 30</w:t>
      </w:r>
      <w:r>
        <w:t xml:space="preserve"> dni od dnia upływu terminu składania wni</w:t>
      </w:r>
      <w:r w:rsidR="00D23573">
        <w:t>osków przez Komisj</w:t>
      </w:r>
      <w:r w:rsidR="008368B0">
        <w:t>ę Konkursową powołaną przez Zarząd Województwa</w:t>
      </w:r>
      <w:r w:rsidR="00D4254C">
        <w:t>.</w:t>
      </w:r>
    </w:p>
    <w:p w:rsidR="00D4254C" w:rsidRPr="00D4254C" w:rsidRDefault="00D4254C" w:rsidP="00745C78">
      <w:pPr>
        <w:numPr>
          <w:ilvl w:val="0"/>
          <w:numId w:val="4"/>
        </w:numPr>
        <w:tabs>
          <w:tab w:val="num" w:pos="360"/>
        </w:tabs>
        <w:ind w:left="360"/>
        <w:jc w:val="both"/>
        <w:rPr>
          <w:u w:val="single"/>
        </w:rPr>
      </w:pPr>
      <w:r>
        <w:t>Od podjętych decyzji nie przysługuje odwołanie.</w:t>
      </w:r>
    </w:p>
    <w:p w:rsidR="00D4254C" w:rsidRPr="00D9582A" w:rsidRDefault="00D4254C" w:rsidP="00745C78">
      <w:pPr>
        <w:numPr>
          <w:ilvl w:val="0"/>
          <w:numId w:val="4"/>
        </w:numPr>
        <w:tabs>
          <w:tab w:val="num" w:pos="360"/>
        </w:tabs>
        <w:ind w:left="360"/>
        <w:jc w:val="both"/>
        <w:rPr>
          <w:u w:val="single"/>
        </w:rPr>
      </w:pPr>
      <w:r>
        <w:t xml:space="preserve">W przypadku odstąpienia od zawarcia umowy oferent ma obowiązek pisemnie powiadomić Departament Rozwoju Obszarów Wiejskich i Środowiska o swojej decyzji </w:t>
      </w:r>
      <w:r w:rsidR="002B5F45">
        <w:br/>
      </w:r>
      <w:r>
        <w:t>w terminie 14 dni od daty otrzymania informacji o przyznanej dotacji.</w:t>
      </w:r>
    </w:p>
    <w:p w:rsidR="00D9582A" w:rsidRPr="00853A30" w:rsidRDefault="00D9582A" w:rsidP="00D9582A">
      <w:pPr>
        <w:pStyle w:val="Tytu"/>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bCs/>
          <w:color w:val="000000"/>
          <w:sz w:val="24"/>
          <w:szCs w:val="24"/>
        </w:rPr>
        <w:t xml:space="preserve">Zleceniobiorca zobowiązany jest do złożenia sprawozdania w terminie 30 dni od dnia zakończenia realizacji zadania. </w:t>
      </w:r>
    </w:p>
    <w:p w:rsidR="00D9582A" w:rsidRPr="00853A30" w:rsidRDefault="00D9582A" w:rsidP="00D9582A">
      <w:pPr>
        <w:pStyle w:val="Tytu"/>
        <w:numPr>
          <w:ilvl w:val="0"/>
          <w:numId w:val="4"/>
        </w:numPr>
        <w:tabs>
          <w:tab w:val="clear" w:pos="720"/>
        </w:tabs>
        <w:ind w:left="426" w:hanging="426"/>
        <w:jc w:val="both"/>
        <w:rPr>
          <w:rFonts w:ascii="Times New Roman" w:hAnsi="Times New Roman"/>
          <w:b w:val="0"/>
          <w:bCs/>
          <w:i/>
          <w:color w:val="000000"/>
          <w:sz w:val="24"/>
          <w:szCs w:val="24"/>
        </w:rPr>
      </w:pPr>
      <w:r w:rsidRPr="00853A30">
        <w:rPr>
          <w:rFonts w:ascii="Times New Roman" w:hAnsi="Times New Roman"/>
          <w:b w:val="0"/>
          <w:sz w:val="24"/>
          <w:szCs w:val="24"/>
        </w:rPr>
        <w:t xml:space="preserve">Do sprawozdania należy załączyć materiały dokumentujące działania faktycznie podjęte przy realizacji zadania, </w:t>
      </w:r>
      <w:r w:rsidR="001E0C81">
        <w:rPr>
          <w:rFonts w:ascii="Times New Roman" w:hAnsi="Times New Roman"/>
          <w:b w:val="0"/>
          <w:sz w:val="24"/>
          <w:szCs w:val="24"/>
        </w:rPr>
        <w:t>tj</w:t>
      </w:r>
      <w:r w:rsidRPr="00853A30">
        <w:rPr>
          <w:rFonts w:ascii="Times New Roman" w:hAnsi="Times New Roman"/>
          <w:b w:val="0"/>
          <w:sz w:val="24"/>
          <w:szCs w:val="24"/>
        </w:rPr>
        <w:t xml:space="preserve">.: listy uczestników, potwierdzenie przekazania nagród, publikacje wydane w ramach projektu (plakaty, ulotki, konspekty), kopie umów cywilnoprawnych, kopie faktur (rachunków), które opłacone zostały w całości lub </w:t>
      </w:r>
      <w:r w:rsidR="002B5F45">
        <w:rPr>
          <w:rFonts w:ascii="Times New Roman" w:hAnsi="Times New Roman"/>
          <w:b w:val="0"/>
          <w:sz w:val="24"/>
          <w:szCs w:val="24"/>
        </w:rPr>
        <w:br/>
      </w:r>
      <w:r w:rsidRPr="00853A30">
        <w:rPr>
          <w:rFonts w:ascii="Times New Roman" w:hAnsi="Times New Roman"/>
          <w:b w:val="0"/>
          <w:sz w:val="24"/>
          <w:szCs w:val="24"/>
        </w:rPr>
        <w:t>w części ze środków pochodzących z dotacji.</w:t>
      </w:r>
    </w:p>
    <w:p w:rsidR="00D9582A" w:rsidRPr="00853A30" w:rsidRDefault="00D9582A" w:rsidP="00D9582A">
      <w:pPr>
        <w:pStyle w:val="Tytu"/>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sz w:val="24"/>
          <w:szCs w:val="24"/>
        </w:rPr>
        <w:t xml:space="preserve">Do sprawozdania nie załącza się oryginałów faktur (rachunków), które należy przechowywać zgodnie z obowiązującymi przepisami i udostępniać podczas przeprowadzanych czynności kontrolnych. </w:t>
      </w:r>
    </w:p>
    <w:p w:rsidR="00D9582A" w:rsidRPr="00D9582A" w:rsidRDefault="00D9582A" w:rsidP="00D9582A">
      <w:pPr>
        <w:pStyle w:val="Tytu"/>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sz w:val="24"/>
          <w:szCs w:val="24"/>
        </w:rPr>
        <w:t xml:space="preserve">Wszystkie oryginały faktur (rachunków) stanowiących dowód poniesionych wydatków powinny być wystawione na zleceniobiorcę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 </w:t>
      </w:r>
    </w:p>
    <w:p w:rsidR="00D9582A" w:rsidRPr="001E0C81" w:rsidRDefault="00D9582A" w:rsidP="00D9582A">
      <w:pPr>
        <w:pStyle w:val="Tytu"/>
        <w:jc w:val="both"/>
        <w:rPr>
          <w:rFonts w:ascii="Times New Roman" w:hAnsi="Times New Roman"/>
          <w:b w:val="0"/>
          <w:bCs/>
          <w:color w:val="000000"/>
          <w:sz w:val="16"/>
          <w:szCs w:val="16"/>
        </w:rPr>
      </w:pPr>
    </w:p>
    <w:p w:rsidR="00D23573" w:rsidRPr="00D23573" w:rsidRDefault="00D23573" w:rsidP="00D23573">
      <w:pPr>
        <w:numPr>
          <w:ilvl w:val="0"/>
          <w:numId w:val="4"/>
        </w:numPr>
        <w:tabs>
          <w:tab w:val="num" w:pos="360"/>
        </w:tabs>
        <w:ind w:left="360"/>
        <w:jc w:val="both"/>
        <w:rPr>
          <w:u w:val="single"/>
        </w:rPr>
      </w:pPr>
      <w:r w:rsidRPr="00D23573">
        <w:t xml:space="preserve">Szczegółowe informacje dotyczące otwartego konkursu: treść ogłoszenia, wzór oferty oraz wzór sprawozdania dostępne są: </w:t>
      </w:r>
    </w:p>
    <w:p w:rsidR="00D23573" w:rsidRPr="00D23573" w:rsidRDefault="00D23573" w:rsidP="00D23573">
      <w:pPr>
        <w:pStyle w:val="Tytu"/>
        <w:numPr>
          <w:ilvl w:val="0"/>
          <w:numId w:val="11"/>
        </w:numPr>
        <w:ind w:left="1418"/>
        <w:jc w:val="both"/>
        <w:rPr>
          <w:rFonts w:ascii="Times New Roman" w:hAnsi="Times New Roman"/>
          <w:b w:val="0"/>
          <w:sz w:val="24"/>
          <w:szCs w:val="24"/>
        </w:rPr>
      </w:pPr>
      <w:r w:rsidRPr="00D23573">
        <w:rPr>
          <w:rFonts w:ascii="Times New Roman" w:hAnsi="Times New Roman"/>
          <w:b w:val="0"/>
          <w:sz w:val="24"/>
          <w:szCs w:val="24"/>
        </w:rPr>
        <w:t xml:space="preserve">w siedzibie Urzędu Marszałkowskiego Województwa Świętokrzyskiego, </w:t>
      </w:r>
      <w:r w:rsidR="001B15D3">
        <w:rPr>
          <w:rFonts w:ascii="Times New Roman" w:hAnsi="Times New Roman"/>
          <w:b w:val="0"/>
          <w:sz w:val="24"/>
          <w:szCs w:val="24"/>
        </w:rPr>
        <w:br/>
      </w:r>
      <w:r w:rsidRPr="00D23573">
        <w:rPr>
          <w:rFonts w:ascii="Times New Roman" w:hAnsi="Times New Roman"/>
          <w:b w:val="0"/>
          <w:sz w:val="24"/>
          <w:szCs w:val="24"/>
        </w:rPr>
        <w:t xml:space="preserve">Al. IX Wieków Kielc 3, 25-516 Kielce, tablica informacyjna, bud. C2, parter, </w:t>
      </w:r>
    </w:p>
    <w:p w:rsidR="00D23573" w:rsidRPr="00D23573" w:rsidRDefault="00D23573" w:rsidP="00D23573">
      <w:pPr>
        <w:pStyle w:val="Tytu"/>
        <w:numPr>
          <w:ilvl w:val="0"/>
          <w:numId w:val="11"/>
        </w:numPr>
        <w:ind w:left="1418"/>
        <w:jc w:val="both"/>
        <w:rPr>
          <w:rFonts w:ascii="Times New Roman" w:hAnsi="Times New Roman"/>
          <w:b w:val="0"/>
          <w:sz w:val="24"/>
          <w:szCs w:val="24"/>
        </w:rPr>
      </w:pPr>
      <w:r w:rsidRPr="00D23573">
        <w:rPr>
          <w:rFonts w:ascii="Times New Roman" w:hAnsi="Times New Roman"/>
          <w:b w:val="0"/>
          <w:sz w:val="24"/>
          <w:szCs w:val="24"/>
        </w:rPr>
        <w:t xml:space="preserve">w siedzibie Departamentu </w:t>
      </w:r>
      <w:r w:rsidR="008368B0">
        <w:rPr>
          <w:rFonts w:ascii="Times New Roman" w:hAnsi="Times New Roman"/>
          <w:b w:val="0"/>
          <w:sz w:val="24"/>
          <w:szCs w:val="24"/>
        </w:rPr>
        <w:t>Rozwoju Obszarów Wiejskich i Środowiska</w:t>
      </w:r>
      <w:r w:rsidR="001B15D3">
        <w:rPr>
          <w:rFonts w:ascii="Times New Roman" w:hAnsi="Times New Roman"/>
          <w:b w:val="0"/>
          <w:sz w:val="24"/>
          <w:szCs w:val="24"/>
        </w:rPr>
        <w:t>,</w:t>
      </w:r>
      <w:r w:rsidR="008368B0">
        <w:rPr>
          <w:rFonts w:ascii="Times New Roman" w:hAnsi="Times New Roman"/>
          <w:b w:val="0"/>
          <w:sz w:val="24"/>
          <w:szCs w:val="24"/>
        </w:rPr>
        <w:t xml:space="preserve"> </w:t>
      </w:r>
      <w:r w:rsidR="008368B0" w:rsidRPr="00D23573">
        <w:rPr>
          <w:rFonts w:ascii="Times New Roman" w:hAnsi="Times New Roman"/>
          <w:b w:val="0"/>
          <w:sz w:val="24"/>
          <w:szCs w:val="24"/>
        </w:rPr>
        <w:t>Al. IX Wieków Kielc 3, 25-516 Kielce</w:t>
      </w:r>
      <w:r w:rsidR="008368B0">
        <w:rPr>
          <w:rFonts w:ascii="Times New Roman" w:hAnsi="Times New Roman"/>
          <w:b w:val="0"/>
          <w:sz w:val="24"/>
          <w:szCs w:val="24"/>
        </w:rPr>
        <w:t>, pok. 133</w:t>
      </w:r>
      <w:r w:rsidRPr="00D23573">
        <w:rPr>
          <w:rFonts w:ascii="Times New Roman" w:hAnsi="Times New Roman"/>
          <w:b w:val="0"/>
          <w:sz w:val="24"/>
          <w:szCs w:val="24"/>
        </w:rPr>
        <w:t xml:space="preserve">, II piętro, </w:t>
      </w:r>
    </w:p>
    <w:p w:rsidR="00D23573" w:rsidRPr="00D23573" w:rsidRDefault="00D23573" w:rsidP="00D23573">
      <w:pPr>
        <w:pStyle w:val="Tytu"/>
        <w:numPr>
          <w:ilvl w:val="0"/>
          <w:numId w:val="11"/>
        </w:numPr>
        <w:ind w:left="1418"/>
        <w:jc w:val="both"/>
        <w:rPr>
          <w:rFonts w:ascii="Times New Roman" w:hAnsi="Times New Roman"/>
          <w:b w:val="0"/>
          <w:sz w:val="24"/>
          <w:szCs w:val="24"/>
        </w:rPr>
      </w:pPr>
      <w:r w:rsidRPr="00D23573">
        <w:rPr>
          <w:rFonts w:ascii="Times New Roman" w:hAnsi="Times New Roman"/>
          <w:b w:val="0"/>
          <w:sz w:val="24"/>
          <w:szCs w:val="24"/>
        </w:rPr>
        <w:t xml:space="preserve">na stronie głównej </w:t>
      </w:r>
      <w:hyperlink r:id="rId6" w:history="1">
        <w:r w:rsidRPr="00D23573">
          <w:rPr>
            <w:rStyle w:val="Hipercze"/>
            <w:rFonts w:ascii="Times New Roman" w:hAnsi="Times New Roman"/>
            <w:b w:val="0"/>
            <w:sz w:val="24"/>
            <w:szCs w:val="24"/>
          </w:rPr>
          <w:t>www.sejmik.kielce.pl</w:t>
        </w:r>
      </w:hyperlink>
      <w:r w:rsidRPr="00D23573">
        <w:rPr>
          <w:rFonts w:ascii="Times New Roman" w:hAnsi="Times New Roman"/>
          <w:b w:val="0"/>
          <w:sz w:val="24"/>
          <w:szCs w:val="24"/>
        </w:rPr>
        <w:t xml:space="preserve"> w zakładce „Konkursy”,</w:t>
      </w:r>
    </w:p>
    <w:p w:rsidR="00D23573" w:rsidRPr="00D23573" w:rsidRDefault="00D23573" w:rsidP="00D23573">
      <w:pPr>
        <w:pStyle w:val="Tytu"/>
        <w:numPr>
          <w:ilvl w:val="0"/>
          <w:numId w:val="11"/>
        </w:numPr>
        <w:ind w:left="1418"/>
        <w:jc w:val="both"/>
        <w:rPr>
          <w:rFonts w:ascii="Times New Roman" w:hAnsi="Times New Roman"/>
          <w:b w:val="0"/>
          <w:sz w:val="24"/>
          <w:szCs w:val="24"/>
        </w:rPr>
      </w:pPr>
      <w:r w:rsidRPr="00D23573">
        <w:rPr>
          <w:rFonts w:ascii="Times New Roman" w:hAnsi="Times New Roman"/>
          <w:b w:val="0"/>
          <w:sz w:val="24"/>
          <w:szCs w:val="24"/>
        </w:rPr>
        <w:t xml:space="preserve">na stronie </w:t>
      </w:r>
      <w:hyperlink r:id="rId7" w:history="1">
        <w:r w:rsidRPr="00D23573">
          <w:rPr>
            <w:rStyle w:val="Hipercze"/>
            <w:rFonts w:ascii="Times New Roman" w:hAnsi="Times New Roman"/>
            <w:b w:val="0"/>
            <w:sz w:val="24"/>
            <w:szCs w:val="24"/>
          </w:rPr>
          <w:t>www.sejmik.kielce.pl</w:t>
        </w:r>
      </w:hyperlink>
      <w:r w:rsidRPr="00D23573">
        <w:rPr>
          <w:rFonts w:ascii="Times New Roman" w:hAnsi="Times New Roman"/>
          <w:b w:val="0"/>
          <w:sz w:val="24"/>
          <w:szCs w:val="24"/>
        </w:rPr>
        <w:t xml:space="preserve"> w Biuletynie Informacji Publicznej, zakładka „Załatwianie spraw/w zakresie </w:t>
      </w:r>
      <w:r w:rsidR="00DA3254" w:rsidRPr="00DA3254">
        <w:rPr>
          <w:rFonts w:ascii="Times New Roman" w:hAnsi="Times New Roman"/>
          <w:b w:val="0"/>
          <w:sz w:val="24"/>
          <w:szCs w:val="24"/>
        </w:rPr>
        <w:t>rozwoju obszarów wiejskich i</w:t>
      </w:r>
      <w:r w:rsidR="00DA3254">
        <w:rPr>
          <w:rFonts w:ascii="Times New Roman" w:hAnsi="Times New Roman"/>
          <w:b w:val="0"/>
          <w:sz w:val="24"/>
          <w:szCs w:val="24"/>
        </w:rPr>
        <w:t xml:space="preserve"> </w:t>
      </w:r>
      <w:r w:rsidR="00DA3254" w:rsidRPr="00DA3254">
        <w:rPr>
          <w:rFonts w:ascii="Times New Roman" w:hAnsi="Times New Roman"/>
          <w:b w:val="0"/>
          <w:sz w:val="24"/>
          <w:szCs w:val="24"/>
        </w:rPr>
        <w:t>środowiska</w:t>
      </w:r>
      <w:r w:rsidRPr="00DA3254">
        <w:rPr>
          <w:rFonts w:ascii="Times New Roman" w:hAnsi="Times New Roman"/>
          <w:b w:val="0"/>
          <w:sz w:val="24"/>
          <w:szCs w:val="24"/>
        </w:rPr>
        <w:t>”.</w:t>
      </w:r>
    </w:p>
    <w:p w:rsidR="00D23573" w:rsidRPr="00D23573" w:rsidRDefault="00D23573" w:rsidP="008368B0"/>
    <w:p w:rsidR="00853A30" w:rsidRDefault="00D23573">
      <w:r w:rsidRPr="00D23573">
        <w:t xml:space="preserve">Informacji telefonicznych udziela Oddział </w:t>
      </w:r>
      <w:r w:rsidR="008368B0">
        <w:t>Kształtowania Środowiska</w:t>
      </w:r>
      <w:r w:rsidRPr="00D23573">
        <w:t xml:space="preserve"> Urzędu </w:t>
      </w:r>
      <w:r w:rsidR="008368B0">
        <w:t>M</w:t>
      </w:r>
      <w:r w:rsidRPr="00D23573">
        <w:t>arszałkowskiego Województwa Świętokrzyskiego, tel. 41/342 15-19</w:t>
      </w:r>
    </w:p>
    <w:sectPr w:rsidR="00853A30" w:rsidSect="00B50D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D26"/>
    <w:multiLevelType w:val="hybridMultilevel"/>
    <w:tmpl w:val="C876150C"/>
    <w:lvl w:ilvl="0" w:tplc="C366AF78">
      <w:start w:val="1"/>
      <w:numFmt w:val="lowerLetter"/>
      <w:lvlText w:val="%1)"/>
      <w:lvlJc w:val="right"/>
      <w:pPr>
        <w:tabs>
          <w:tab w:val="num" w:pos="2160"/>
        </w:tabs>
        <w:ind w:left="2160" w:hanging="180"/>
      </w:pPr>
      <w:rPr>
        <w:rFonts w:ascii="Times New Roman" w:hAnsi="Times New Roman" w:cs="Times New Roman" w:hint="default"/>
        <w:sz w:val="24"/>
        <w:szCs w:val="24"/>
      </w:rPr>
    </w:lvl>
    <w:lvl w:ilvl="1" w:tplc="0DB07DB0">
      <w:start w:val="8"/>
      <w:numFmt w:val="decimal"/>
      <w:lvlText w:val="%2."/>
      <w:lvlJc w:val="left"/>
      <w:pPr>
        <w:tabs>
          <w:tab w:val="num" w:pos="900"/>
        </w:tabs>
        <w:ind w:left="900" w:hanging="360"/>
      </w:pPr>
      <w:rPr>
        <w:rFonts w:hint="default"/>
        <w:color w:val="auto"/>
        <w:sz w:val="22"/>
      </w:rPr>
    </w:lvl>
    <w:lvl w:ilvl="2" w:tplc="1860887C">
      <w:start w:val="4"/>
      <w:numFmt w:val="upperRoman"/>
      <w:lvlText w:val="%3."/>
      <w:lvlJc w:val="left"/>
      <w:pPr>
        <w:tabs>
          <w:tab w:val="num" w:pos="2434"/>
        </w:tabs>
        <w:ind w:left="2434" w:hanging="454"/>
      </w:pPr>
      <w:rPr>
        <w:rFonts w:ascii="Arial" w:hAnsi="Arial" w:hint="default"/>
        <w:b/>
        <w:i w:val="0"/>
        <w:sz w:val="22"/>
      </w:rPr>
    </w:lvl>
    <w:lvl w:ilvl="3" w:tplc="0812093E">
      <w:start w:val="4"/>
      <w:numFmt w:val="decimal"/>
      <w:lvlText w:val="%4."/>
      <w:lvlJc w:val="left"/>
      <w:pPr>
        <w:tabs>
          <w:tab w:val="num" w:pos="3070"/>
        </w:tabs>
        <w:ind w:left="3070" w:hanging="55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F4C1514"/>
    <w:multiLevelType w:val="hybridMultilevel"/>
    <w:tmpl w:val="5D2CDEA8"/>
    <w:lvl w:ilvl="0" w:tplc="0812093E">
      <w:start w:val="4"/>
      <w:numFmt w:val="decimal"/>
      <w:lvlText w:val="%1."/>
      <w:lvlJc w:val="left"/>
      <w:pPr>
        <w:tabs>
          <w:tab w:val="num" w:pos="1080"/>
        </w:tabs>
        <w:ind w:left="1080" w:hanging="550"/>
      </w:pPr>
      <w:rPr>
        <w:rFonts w:hint="default"/>
      </w:rPr>
    </w:lvl>
    <w:lvl w:ilvl="1" w:tplc="1B34F91A">
      <w:start w:val="1"/>
      <w:numFmt w:val="lowerLetter"/>
      <w:lvlText w:val="%2)"/>
      <w:lvlJc w:val="left"/>
      <w:pPr>
        <w:tabs>
          <w:tab w:val="num" w:pos="1353"/>
        </w:tabs>
        <w:ind w:left="1353" w:hanging="360"/>
      </w:pPr>
      <w:rPr>
        <w:rFonts w:hint="default"/>
      </w:rPr>
    </w:lvl>
    <w:lvl w:ilvl="2" w:tplc="0415001B">
      <w:start w:val="1"/>
      <w:numFmt w:val="lowerRoman"/>
      <w:lvlText w:val="%3."/>
      <w:lvlJc w:val="right"/>
      <w:pPr>
        <w:tabs>
          <w:tab w:val="num" w:pos="2160"/>
        </w:tabs>
        <w:ind w:left="2160" w:hanging="180"/>
      </w:pPr>
    </w:lvl>
    <w:lvl w:ilvl="3" w:tplc="E1AABCCC">
      <w:start w:val="1"/>
      <w:numFmt w:val="lowerLetter"/>
      <w:lvlText w:val="%4)"/>
      <w:lvlJc w:val="left"/>
      <w:pPr>
        <w:tabs>
          <w:tab w:val="num" w:pos="2880"/>
        </w:tabs>
        <w:ind w:left="2880" w:hanging="360"/>
      </w:pPr>
      <w:rPr>
        <w:rFonts w:hint="default"/>
      </w:rPr>
    </w:lvl>
    <w:lvl w:ilvl="4" w:tplc="67048032">
      <w:start w:val="1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E7C36D4"/>
    <w:multiLevelType w:val="hybridMultilevel"/>
    <w:tmpl w:val="36EE9F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238A177B"/>
    <w:multiLevelType w:val="hybridMultilevel"/>
    <w:tmpl w:val="DB2264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38705122"/>
    <w:multiLevelType w:val="hybridMultilevel"/>
    <w:tmpl w:val="8060756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3ABC0820"/>
    <w:multiLevelType w:val="hybridMultilevel"/>
    <w:tmpl w:val="B3B0DD42"/>
    <w:lvl w:ilvl="0" w:tplc="C2D61956">
      <w:start w:val="1"/>
      <w:numFmt w:val="decimal"/>
      <w:lvlText w:val="%1."/>
      <w:lvlJc w:val="left"/>
      <w:pPr>
        <w:tabs>
          <w:tab w:val="num" w:pos="2340"/>
        </w:tabs>
        <w:ind w:left="2340" w:hanging="360"/>
      </w:pPr>
      <w:rPr>
        <w:rFonts w:ascii="Arial" w:hAnsi="Arial" w:hint="default"/>
        <w:sz w:val="22"/>
      </w:rPr>
    </w:lvl>
    <w:lvl w:ilvl="1" w:tplc="B6BE0A70">
      <w:start w:val="1"/>
      <w:numFmt w:val="lowerLetter"/>
      <w:lvlText w:val="%2)"/>
      <w:lvlJc w:val="right"/>
      <w:pPr>
        <w:tabs>
          <w:tab w:val="num" w:pos="1260"/>
        </w:tabs>
        <w:ind w:left="1260" w:hanging="180"/>
      </w:pPr>
      <w:rPr>
        <w:rFonts w:ascii="Times New Roman" w:hAnsi="Times New Roman" w:cs="Times New Roman" w:hint="default"/>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C0F440E"/>
    <w:multiLevelType w:val="hybridMultilevel"/>
    <w:tmpl w:val="CC16F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C0086D"/>
    <w:multiLevelType w:val="hybridMultilevel"/>
    <w:tmpl w:val="2BCA6BD8"/>
    <w:lvl w:ilvl="0" w:tplc="852A31C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CF93DD0"/>
    <w:multiLevelType w:val="hybridMultilevel"/>
    <w:tmpl w:val="45CE507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1F2470C"/>
    <w:multiLevelType w:val="hybridMultilevel"/>
    <w:tmpl w:val="067AF8CE"/>
    <w:lvl w:ilvl="0" w:tplc="C1C08C38">
      <w:start w:val="1"/>
      <w:numFmt w:val="lowerLetter"/>
      <w:lvlText w:val="%1)"/>
      <w:lvlJc w:val="left"/>
      <w:pPr>
        <w:tabs>
          <w:tab w:val="num" w:pos="1440"/>
        </w:tabs>
        <w:ind w:left="144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2360E45"/>
    <w:multiLevelType w:val="hybridMultilevel"/>
    <w:tmpl w:val="2B8623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4593DAE"/>
    <w:multiLevelType w:val="hybridMultilevel"/>
    <w:tmpl w:val="EE58493E"/>
    <w:lvl w:ilvl="0" w:tplc="04150017">
      <w:start w:val="1"/>
      <w:numFmt w:val="lowerLetter"/>
      <w:lvlText w:val="%1)"/>
      <w:lvlJc w:val="left"/>
      <w:pPr>
        <w:tabs>
          <w:tab w:val="num" w:pos="1068"/>
        </w:tabs>
        <w:ind w:left="1068" w:hanging="360"/>
      </w:pPr>
    </w:lvl>
    <w:lvl w:ilvl="1" w:tplc="C3E81778">
      <w:start w:val="3"/>
      <w:numFmt w:val="decimal"/>
      <w:lvlText w:val="%2"/>
      <w:lvlJc w:val="left"/>
      <w:pPr>
        <w:tabs>
          <w:tab w:val="num" w:pos="2508"/>
        </w:tabs>
        <w:ind w:left="2508" w:hanging="360"/>
      </w:pPr>
      <w:rPr>
        <w:rFonts w:hint="default"/>
      </w:r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5"/>
  </w:num>
  <w:num w:numId="9">
    <w:abstractNumId w:val="0"/>
  </w:num>
  <w:num w:numId="10">
    <w:abstractNumId w:val="9"/>
  </w:num>
  <w:num w:numId="11">
    <w:abstractNumId w:val="2"/>
  </w:num>
  <w:num w:numId="12">
    <w:abstractNumId w:val="11"/>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5C78"/>
    <w:rsid w:val="000370BA"/>
    <w:rsid w:val="000F2428"/>
    <w:rsid w:val="00101D40"/>
    <w:rsid w:val="00181780"/>
    <w:rsid w:val="001A5A45"/>
    <w:rsid w:val="001B15D3"/>
    <w:rsid w:val="001E0C81"/>
    <w:rsid w:val="001E7CAB"/>
    <w:rsid w:val="002115E7"/>
    <w:rsid w:val="002244D4"/>
    <w:rsid w:val="002B5F45"/>
    <w:rsid w:val="00322A6F"/>
    <w:rsid w:val="003608AD"/>
    <w:rsid w:val="003A4E3B"/>
    <w:rsid w:val="003E135C"/>
    <w:rsid w:val="004156C3"/>
    <w:rsid w:val="004237F2"/>
    <w:rsid w:val="00425008"/>
    <w:rsid w:val="00444EA4"/>
    <w:rsid w:val="00476FE8"/>
    <w:rsid w:val="00523829"/>
    <w:rsid w:val="00537571"/>
    <w:rsid w:val="00543BA7"/>
    <w:rsid w:val="005841D7"/>
    <w:rsid w:val="005F3B40"/>
    <w:rsid w:val="006323C4"/>
    <w:rsid w:val="006C7702"/>
    <w:rsid w:val="007210DE"/>
    <w:rsid w:val="00745C78"/>
    <w:rsid w:val="008368B0"/>
    <w:rsid w:val="00853A30"/>
    <w:rsid w:val="008A73C1"/>
    <w:rsid w:val="008D0BDA"/>
    <w:rsid w:val="008F1674"/>
    <w:rsid w:val="0093735D"/>
    <w:rsid w:val="00942A2E"/>
    <w:rsid w:val="00993432"/>
    <w:rsid w:val="009A0106"/>
    <w:rsid w:val="009C0D6D"/>
    <w:rsid w:val="00A4266B"/>
    <w:rsid w:val="00A46E7C"/>
    <w:rsid w:val="00A90FA7"/>
    <w:rsid w:val="00AD158E"/>
    <w:rsid w:val="00AE7A8A"/>
    <w:rsid w:val="00B50DC2"/>
    <w:rsid w:val="00B700B0"/>
    <w:rsid w:val="00BA6536"/>
    <w:rsid w:val="00BC3CA4"/>
    <w:rsid w:val="00C25565"/>
    <w:rsid w:val="00C66BC1"/>
    <w:rsid w:val="00C86C6E"/>
    <w:rsid w:val="00CF5084"/>
    <w:rsid w:val="00D23573"/>
    <w:rsid w:val="00D310E0"/>
    <w:rsid w:val="00D4254C"/>
    <w:rsid w:val="00D71BA5"/>
    <w:rsid w:val="00D73CFE"/>
    <w:rsid w:val="00D9582A"/>
    <w:rsid w:val="00DA0B15"/>
    <w:rsid w:val="00DA3254"/>
    <w:rsid w:val="00DB227C"/>
    <w:rsid w:val="00DC6908"/>
    <w:rsid w:val="00DD2314"/>
    <w:rsid w:val="00EF4341"/>
    <w:rsid w:val="00F23BBE"/>
    <w:rsid w:val="00F63CF6"/>
    <w:rsid w:val="00F733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C78"/>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745C78"/>
    <w:pPr>
      <w:keepNext/>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745C78"/>
    <w:rPr>
      <w:rFonts w:ascii="Times New Roman" w:eastAsia="Times New Roman" w:hAnsi="Times New Roman" w:cs="Times New Roman"/>
      <w:sz w:val="24"/>
      <w:szCs w:val="20"/>
      <w:lang w:eastAsia="pl-PL"/>
    </w:rPr>
  </w:style>
  <w:style w:type="character" w:styleId="Hipercze">
    <w:name w:val="Hyperlink"/>
    <w:basedOn w:val="Domylnaczcionkaakapitu"/>
    <w:unhideWhenUsed/>
    <w:rsid w:val="00745C78"/>
    <w:rPr>
      <w:color w:val="0000FF"/>
      <w:u w:val="single"/>
    </w:rPr>
  </w:style>
  <w:style w:type="paragraph" w:styleId="NormalnyWeb">
    <w:name w:val="Normal (Web)"/>
    <w:basedOn w:val="Normalny"/>
    <w:unhideWhenUsed/>
    <w:rsid w:val="00745C78"/>
  </w:style>
  <w:style w:type="paragraph" w:styleId="Tytu">
    <w:name w:val="Title"/>
    <w:basedOn w:val="Normalny"/>
    <w:link w:val="TytuZnak"/>
    <w:qFormat/>
    <w:rsid w:val="00745C78"/>
    <w:pPr>
      <w:jc w:val="center"/>
    </w:pPr>
    <w:rPr>
      <w:rFonts w:ascii="Arial" w:hAnsi="Arial"/>
      <w:b/>
      <w:sz w:val="40"/>
      <w:szCs w:val="20"/>
    </w:rPr>
  </w:style>
  <w:style w:type="character" w:customStyle="1" w:styleId="TytuZnak">
    <w:name w:val="Tytuł Znak"/>
    <w:basedOn w:val="Domylnaczcionkaakapitu"/>
    <w:link w:val="Tytu"/>
    <w:rsid w:val="00745C78"/>
    <w:rPr>
      <w:rFonts w:ascii="Arial" w:eastAsia="Times New Roman" w:hAnsi="Arial" w:cs="Times New Roman"/>
      <w:b/>
      <w:sz w:val="40"/>
      <w:szCs w:val="20"/>
      <w:lang w:eastAsia="pl-PL"/>
    </w:rPr>
  </w:style>
  <w:style w:type="paragraph" w:styleId="Tekstpodstawowy">
    <w:name w:val="Body Text"/>
    <w:basedOn w:val="Normalny"/>
    <w:link w:val="TekstpodstawowyZnak"/>
    <w:unhideWhenUsed/>
    <w:rsid w:val="00745C78"/>
    <w:rPr>
      <w:sz w:val="28"/>
    </w:rPr>
  </w:style>
  <w:style w:type="character" w:customStyle="1" w:styleId="TekstpodstawowyZnak">
    <w:name w:val="Tekst podstawowy Znak"/>
    <w:basedOn w:val="Domylnaczcionkaakapitu"/>
    <w:link w:val="Tekstpodstawowy"/>
    <w:rsid w:val="00745C78"/>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semiHidden/>
    <w:unhideWhenUsed/>
    <w:rsid w:val="00745C78"/>
    <w:pPr>
      <w:jc w:val="center"/>
    </w:pPr>
    <w:rPr>
      <w:b/>
      <w:bCs/>
      <w:sz w:val="32"/>
    </w:rPr>
  </w:style>
  <w:style w:type="character" w:customStyle="1" w:styleId="Tekstpodstawowy2Znak">
    <w:name w:val="Tekst podstawowy 2 Znak"/>
    <w:basedOn w:val="Domylnaczcionkaakapitu"/>
    <w:link w:val="Tekstpodstawowy2"/>
    <w:semiHidden/>
    <w:rsid w:val="00745C78"/>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F73317"/>
    <w:pPr>
      <w:ind w:left="720"/>
      <w:contextualSpacing/>
    </w:pPr>
  </w:style>
</w:styles>
</file>

<file path=word/webSettings.xml><?xml version="1.0" encoding="utf-8"?>
<w:webSettings xmlns:r="http://schemas.openxmlformats.org/officeDocument/2006/relationships" xmlns:w="http://schemas.openxmlformats.org/wordprocessingml/2006/main">
  <w:divs>
    <w:div w:id="9694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jmik.kielce.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5</Pages>
  <Words>1881</Words>
  <Characters>11290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54</cp:revision>
  <cp:lastPrinted>2011-02-07T08:34:00Z</cp:lastPrinted>
  <dcterms:created xsi:type="dcterms:W3CDTF">2010-01-14T08:12:00Z</dcterms:created>
  <dcterms:modified xsi:type="dcterms:W3CDTF">2011-02-16T13:17:00Z</dcterms:modified>
</cp:coreProperties>
</file>