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89" w:rsidRPr="0019447C" w:rsidRDefault="00CF7C89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</w:p>
    <w:p w:rsidR="00CF7C89" w:rsidRPr="0019447C" w:rsidRDefault="00CF7C89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</w:p>
    <w:p w:rsidR="00CF7C89" w:rsidRPr="0019447C" w:rsidRDefault="00CF7C89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CF7C89" w:rsidRPr="0019447C" w:rsidRDefault="00CF7C89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CF7C89" w:rsidRPr="00A753D3" w:rsidRDefault="00CF7C89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A753D3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</w:p>
    <w:p w:rsidR="00CF7C89" w:rsidRPr="00A753D3" w:rsidRDefault="00CF7C89" w:rsidP="004634E3">
      <w:pPr>
        <w:jc w:val="center"/>
        <w:rPr>
          <w:rFonts w:ascii="Verdana" w:hAnsi="Verdana" w:cs="Arial"/>
          <w:b/>
          <w:bCs/>
          <w:sz w:val="36"/>
          <w:szCs w:val="36"/>
          <w:lang w:val="pl-PL"/>
        </w:rPr>
      </w:pPr>
    </w:p>
    <w:p w:rsidR="00CF7C89" w:rsidRPr="00A753D3" w:rsidRDefault="00CF7C89" w:rsidP="0019447C">
      <w:pPr>
        <w:jc w:val="center"/>
        <w:rPr>
          <w:rFonts w:ascii="Verdana" w:hAnsi="Verdana" w:cs="Arial"/>
          <w:sz w:val="28"/>
          <w:szCs w:val="28"/>
          <w:lang w:val="pl-PL"/>
        </w:rPr>
      </w:pPr>
      <w:r w:rsidRPr="00A753D3">
        <w:rPr>
          <w:rFonts w:ascii="Verdana" w:hAnsi="Verdana" w:cs="Arial"/>
          <w:b/>
          <w:bCs/>
          <w:sz w:val="28"/>
          <w:szCs w:val="28"/>
          <w:lang w:val="pl-PL"/>
        </w:rPr>
        <w:t>PODRĘCZNIK</w:t>
      </w:r>
    </w:p>
    <w:p w:rsidR="00CF7C89" w:rsidRPr="00A753D3" w:rsidRDefault="00CF7C89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</w:p>
    <w:p w:rsidR="00CF7C89" w:rsidRPr="00A753D3" w:rsidRDefault="00CF7C89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  <w:r w:rsidRPr="00A753D3">
        <w:rPr>
          <w:rFonts w:ascii="Verdana" w:hAnsi="Verdana" w:cs="Arial"/>
          <w:b/>
          <w:bCs/>
          <w:sz w:val="22"/>
          <w:lang w:val="pl-PL"/>
        </w:rPr>
        <w:br w:type="page"/>
      </w:r>
    </w:p>
    <w:p w:rsidR="00CF7C89" w:rsidRPr="00A753D3" w:rsidRDefault="00CF7C89" w:rsidP="0019447C">
      <w:pPr>
        <w:autoSpaceDE w:val="0"/>
        <w:autoSpaceDN w:val="0"/>
        <w:adjustRightInd w:val="0"/>
        <w:rPr>
          <w:rFonts w:ascii="Verdana" w:hAnsi="Verdana"/>
          <w:b/>
          <w:lang w:val="pl-PL"/>
        </w:rPr>
      </w:pPr>
      <w:r w:rsidRPr="00A753D3">
        <w:rPr>
          <w:rFonts w:ascii="Verdana" w:hAnsi="Verdana"/>
          <w:b/>
          <w:lang w:val="pl-PL"/>
        </w:rPr>
        <w:t>Marzec 2012 roku</w:t>
      </w:r>
    </w:p>
    <w:p w:rsidR="00CF7C89" w:rsidRPr="00A753D3" w:rsidRDefault="00CF7C89" w:rsidP="0019447C">
      <w:pPr>
        <w:rPr>
          <w:rFonts w:ascii="Verdana" w:hAnsi="Verdana" w:cs="Arial"/>
          <w:b/>
          <w:lang w:val="pl-PL"/>
        </w:rPr>
      </w:pPr>
    </w:p>
    <w:p w:rsidR="00CF7C89" w:rsidRPr="0019447C" w:rsidRDefault="00CF7C89" w:rsidP="0019447C">
      <w:pPr>
        <w:rPr>
          <w:rFonts w:ascii="Verdana" w:hAnsi="Verdana" w:cs="Arial"/>
          <w:b/>
          <w:lang w:val="en-GB"/>
        </w:rPr>
      </w:pPr>
      <w:r w:rsidRPr="0019447C">
        <w:rPr>
          <w:rFonts w:ascii="Verdana" w:hAnsi="Verdana" w:cs="Arial"/>
          <w:b/>
        </w:rPr>
        <w:t>SPIS TREŚCI</w:t>
      </w:r>
    </w:p>
    <w:p w:rsidR="00CF7C89" w:rsidRPr="0019447C" w:rsidRDefault="00CF7C89" w:rsidP="0019447C">
      <w:pPr>
        <w:rPr>
          <w:rFonts w:ascii="Verdana" w:hAnsi="Verdana"/>
          <w:lang w:val="en-GB"/>
        </w:rPr>
      </w:pPr>
    </w:p>
    <w:p w:rsidR="00CF7C89" w:rsidRPr="0019447C" w:rsidRDefault="007458F7" w:rsidP="0019447C">
      <w:pPr>
        <w:pStyle w:val="Spistreci1"/>
        <w:tabs>
          <w:tab w:val="right" w:leader="dot" w:pos="8630"/>
        </w:tabs>
        <w:rPr>
          <w:rFonts w:ascii="Verdana" w:hAnsi="Verdana"/>
          <w:noProof/>
          <w:sz w:val="22"/>
          <w:lang w:val="en-GB" w:eastAsia="en-GB"/>
        </w:rPr>
      </w:pPr>
      <w:r w:rsidRPr="0019447C">
        <w:rPr>
          <w:rFonts w:ascii="Verdana" w:hAnsi="Verdana"/>
          <w:lang w:val="en-GB"/>
        </w:rPr>
        <w:fldChar w:fldCharType="begin"/>
      </w:r>
      <w:r w:rsidR="00CF7C89" w:rsidRPr="0019447C">
        <w:rPr>
          <w:rFonts w:ascii="Verdana" w:hAnsi="Verdana"/>
          <w:lang w:val="en-GB"/>
        </w:rPr>
        <w:instrText xml:space="preserve"> TOC \o "1-2" \h \z \u </w:instrText>
      </w:r>
      <w:r w:rsidRPr="0019447C">
        <w:rPr>
          <w:rFonts w:ascii="Verdana" w:hAnsi="Verdana"/>
          <w:lang w:val="en-GB"/>
        </w:rPr>
        <w:fldChar w:fldCharType="separate"/>
      </w:r>
      <w:hyperlink w:anchor="_Toc318106044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1. DEFINICJE I MYŚL PRZEWODNIA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_Toc318106044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45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1.1. Nagroda honorująca doskonałą przedsiębiorczość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_Toc318106045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46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1.2. Cele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_Toc318106046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47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1.3. Znaczenie przedsiębiorczości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_Toc318106047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48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1.4. Korzyści dla uczestników i laureatów konkursu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_Toc318106048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1"/>
        <w:tabs>
          <w:tab w:val="right" w:leader="dot" w:pos="8630"/>
        </w:tabs>
        <w:rPr>
          <w:rFonts w:ascii="Verdana" w:hAnsi="Verdana"/>
          <w:noProof/>
          <w:sz w:val="22"/>
          <w:lang w:val="en-GB" w:eastAsia="en-GB"/>
        </w:rPr>
      </w:pPr>
      <w:hyperlink w:anchor="_Toc318106049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 METODYKA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_Toc318106049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0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2.1. Uczestnicy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_Toc318106050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1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2.2. Kategorie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_Toc318106051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2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2.3. Dwustopniowe eliminacje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_Toc318106052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3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2.3.1. Na szczeblu krajowym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_Toc318106053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4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2.3.2. Na szczeblu europejskim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_Toc318106054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5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2.4. Kryteria kwalifikowalności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_Toc318106055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6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2.5. Kryteria przyznawania nagród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_Toc318106056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1"/>
        <w:tabs>
          <w:tab w:val="right" w:leader="dot" w:pos="8630"/>
        </w:tabs>
        <w:rPr>
          <w:rFonts w:ascii="Verdana" w:hAnsi="Verdana"/>
          <w:noProof/>
          <w:sz w:val="22"/>
          <w:lang w:val="en-GB" w:eastAsia="en-GB"/>
        </w:rPr>
      </w:pPr>
      <w:hyperlink w:anchor="_Toc318106057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3. OCENA I KONKURS NA SZCZEBLU KRAJOWYM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_Toc318106057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8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3.1. Kryteria kwalifikowalności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_Toc318106058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59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3.2. Kryteria wyboru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_Toc318106059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pStyle w:val="Spistreci2"/>
        <w:rPr>
          <w:rFonts w:ascii="Verdana" w:hAnsi="Verdana"/>
          <w:noProof/>
          <w:sz w:val="22"/>
          <w:lang w:val="en-GB" w:eastAsia="en-GB"/>
        </w:rPr>
      </w:pPr>
      <w:hyperlink w:anchor="_Toc318106060" w:history="1">
        <w:r w:rsidR="00CF7C89" w:rsidRPr="0019447C">
          <w:rPr>
            <w:rStyle w:val="Hipercze"/>
            <w:rFonts w:ascii="Verdana" w:hAnsi="Verdana" w:cs="Arial"/>
            <w:noProof/>
            <w:color w:val="auto"/>
            <w:lang w:val="pl-PL"/>
          </w:rPr>
          <w:t>3.3. Nominowani</w:t>
        </w:r>
        <w:r w:rsidR="00CF7C89" w:rsidRPr="0019447C">
          <w:rPr>
            <w:rFonts w:ascii="Verdana" w:hAnsi="Verdana"/>
            <w:noProof/>
            <w:webHidden/>
          </w:rPr>
          <w:tab/>
        </w:r>
        <w:r w:rsidRPr="0019447C">
          <w:rPr>
            <w:rFonts w:ascii="Verdana" w:hAnsi="Verdana"/>
            <w:noProof/>
            <w:webHidden/>
          </w:rPr>
          <w:fldChar w:fldCharType="begin"/>
        </w:r>
        <w:r w:rsidR="00CF7C89" w:rsidRPr="0019447C">
          <w:rPr>
            <w:rFonts w:ascii="Verdana" w:hAnsi="Verdana"/>
            <w:noProof/>
            <w:webHidden/>
          </w:rPr>
          <w:instrText xml:space="preserve"> PAGEREF _Toc318106060 \h </w:instrText>
        </w:r>
        <w:r w:rsidRPr="0019447C">
          <w:rPr>
            <w:rFonts w:ascii="Verdana" w:hAnsi="Verdana"/>
            <w:noProof/>
            <w:webHidden/>
          </w:rPr>
        </w:r>
        <w:r w:rsidRPr="0019447C">
          <w:rPr>
            <w:rFonts w:ascii="Verdana" w:hAnsi="Verdana"/>
            <w:noProof/>
            <w:webHidden/>
          </w:rPr>
          <w:fldChar w:fldCharType="separate"/>
        </w:r>
        <w:r w:rsidR="00CF7C89">
          <w:rPr>
            <w:rFonts w:ascii="Verdana" w:hAnsi="Verdana"/>
            <w:noProof/>
            <w:webHidden/>
          </w:rPr>
          <w:t>3</w:t>
        </w:r>
        <w:r w:rsidRPr="0019447C">
          <w:rPr>
            <w:rFonts w:ascii="Verdana" w:hAnsi="Verdana"/>
            <w:noProof/>
            <w:webHidden/>
          </w:rPr>
          <w:fldChar w:fldCharType="end"/>
        </w:r>
      </w:hyperlink>
    </w:p>
    <w:p w:rsidR="00CF7C89" w:rsidRPr="0019447C" w:rsidRDefault="007458F7" w:rsidP="0019447C">
      <w:pPr>
        <w:autoSpaceDE w:val="0"/>
        <w:autoSpaceDN w:val="0"/>
        <w:adjustRightInd w:val="0"/>
        <w:rPr>
          <w:rFonts w:ascii="Verdana" w:hAnsi="Verdana" w:cs="Arial"/>
          <w:sz w:val="22"/>
          <w:lang w:val="en-GB"/>
        </w:rPr>
      </w:pPr>
      <w:r w:rsidRPr="0019447C">
        <w:rPr>
          <w:rFonts w:ascii="Verdana" w:hAnsi="Verdana"/>
          <w:lang w:val="en-GB"/>
        </w:rPr>
        <w:fldChar w:fldCharType="end"/>
      </w:r>
    </w:p>
    <w:p w:rsidR="00CF7C89" w:rsidRPr="0019447C" w:rsidRDefault="00CF7C89" w:rsidP="0019447C">
      <w:pPr>
        <w:pStyle w:val="Nagwek1"/>
        <w:rPr>
          <w:rFonts w:ascii="Verdana" w:hAnsi="Verdana" w:cs="Arial"/>
          <w:color w:val="auto"/>
          <w:sz w:val="22"/>
          <w:lang w:val="pl-PL"/>
        </w:rPr>
      </w:pPr>
      <w:r w:rsidRPr="0019447C">
        <w:rPr>
          <w:rFonts w:ascii="Verdana" w:hAnsi="Verdana" w:cs="Arial"/>
          <w:color w:val="auto"/>
          <w:sz w:val="22"/>
          <w:lang w:val="pl-PL"/>
        </w:rPr>
        <w:br w:type="page"/>
      </w:r>
      <w:bookmarkStart w:id="0" w:name="_Toc158800202"/>
      <w:bookmarkStart w:id="1" w:name="_Toc158800412"/>
      <w:bookmarkStart w:id="2" w:name="_Toc158800434"/>
      <w:bookmarkStart w:id="3" w:name="_Toc318106044"/>
      <w:r w:rsidRPr="0019447C">
        <w:rPr>
          <w:rFonts w:ascii="Verdana" w:hAnsi="Verdana"/>
          <w:color w:val="auto"/>
          <w:lang w:val="pl-PL"/>
        </w:rPr>
        <w:lastRenderedPageBreak/>
        <w:t>1. DEFINICJE I MYŚL PRZEWODNIA</w:t>
      </w:r>
      <w:bookmarkEnd w:id="0"/>
      <w:bookmarkEnd w:id="1"/>
      <w:bookmarkEnd w:id="2"/>
      <w:bookmarkEnd w:id="3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2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sz w:val="19"/>
          <w:lang w:val="pl-PL"/>
        </w:rPr>
      </w:pPr>
      <w:bookmarkStart w:id="4" w:name="_Toc158800203"/>
      <w:bookmarkStart w:id="5" w:name="_Toc158800413"/>
      <w:bookmarkStart w:id="6" w:name="_Toc158800435"/>
      <w:bookmarkStart w:id="7" w:name="_Toc318106045"/>
      <w:r w:rsidRPr="0019447C">
        <w:rPr>
          <w:rFonts w:ascii="Verdana" w:hAnsi="Verdana"/>
          <w:color w:val="auto"/>
          <w:sz w:val="19"/>
          <w:lang w:val="pl-PL"/>
        </w:rPr>
        <w:t>1.1. Nagroda honorująca doskonałą przedsiębiorczość</w:t>
      </w:r>
      <w:bookmarkEnd w:id="4"/>
      <w:bookmarkEnd w:id="5"/>
      <w:bookmarkEnd w:id="6"/>
      <w:bookmarkEnd w:id="7"/>
      <w:r w:rsidRPr="0019447C">
        <w:rPr>
          <w:rFonts w:ascii="Verdana" w:hAnsi="Verdana"/>
          <w:color w:val="auto"/>
          <w:sz w:val="19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 w:cs="Arial"/>
          <w:sz w:val="19"/>
          <w:lang w:val="pl-PL"/>
        </w:rPr>
        <w:t xml:space="preserve">Zainicjowane staraniem Komisji Europejskie Nagrody Promocji </w:t>
      </w:r>
      <w:r w:rsidRPr="0019447C">
        <w:rPr>
          <w:rFonts w:ascii="Verdana" w:hAnsi="Verdana"/>
          <w:sz w:val="19"/>
          <w:lang w:val="pl-PL"/>
        </w:rPr>
        <w:t xml:space="preserve">Przedsiębiorczości są formą uznania i wyróżnienia szczególnie cennych inicjatyw wspierających przedsiębiorczość na poziomie regionalnym. Nagrody, zainaugurowane w roku 2005, nie sprowadzają się jedynie do konkursu, ale mają przy tym na celu uświadomienie </w:t>
      </w:r>
      <w:r w:rsidRPr="0019447C">
        <w:rPr>
          <w:rFonts w:ascii="Verdana" w:hAnsi="Verdana" w:cs="Arial"/>
          <w:sz w:val="19"/>
          <w:lang w:val="pl-PL"/>
        </w:rPr>
        <w:t>s</w:t>
      </w:r>
      <w:r w:rsidRPr="0019447C">
        <w:rPr>
          <w:rFonts w:ascii="Verdana" w:hAnsi="Verdana"/>
          <w:sz w:val="19"/>
          <w:lang w:val="pl-PL"/>
        </w:rPr>
        <w:t xml:space="preserve">połeczeństwu istotnego znaczenia polityki i obsługi administracyjnej w dziedzinie przedsiębiorczości oraz uczczenie odnoszonych na tym polu sukcesów.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Ogłaszani co roku zwycięzcy konkursu w skali europejskiej posłużą innym za wzór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i inspirację.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>Zasięg geograficzny konkursu obejmuje 27 państw członkowskich</w:t>
      </w:r>
      <w:r w:rsidRPr="0019447C">
        <w:rPr>
          <w:rStyle w:val="StyleFootnoteReferenceArial10pt"/>
          <w:rFonts w:ascii="Verdana" w:hAnsi="Verdana"/>
          <w:color w:val="auto"/>
          <w:sz w:val="19"/>
          <w:lang w:val="pl-PL"/>
        </w:rPr>
        <w:footnoteReference w:id="1"/>
      </w:r>
      <w:r w:rsidRPr="0019447C">
        <w:rPr>
          <w:rFonts w:ascii="Verdana" w:hAnsi="Verdana"/>
          <w:sz w:val="19"/>
          <w:lang w:val="pl-PL"/>
        </w:rPr>
        <w:t xml:space="preserve"> Unii Europejskiej, jak również Chorwację, Islandię, Norwegię, Serbię i Turcję. </w:t>
      </w:r>
    </w:p>
    <w:p w:rsidR="00CF7C89" w:rsidRPr="0019447C" w:rsidRDefault="00CF7C89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19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sz w:val="19"/>
          <w:lang w:val="pl-PL"/>
        </w:rPr>
      </w:pPr>
      <w:bookmarkStart w:id="8" w:name="_Toc158800204"/>
      <w:bookmarkStart w:id="9" w:name="_Toc158800414"/>
      <w:bookmarkStart w:id="10" w:name="_Toc158800436"/>
      <w:bookmarkStart w:id="11" w:name="_Toc318106046"/>
      <w:r w:rsidRPr="0019447C">
        <w:rPr>
          <w:rFonts w:ascii="Verdana" w:hAnsi="Verdana"/>
          <w:color w:val="auto"/>
          <w:sz w:val="19"/>
          <w:lang w:val="pl-PL"/>
        </w:rPr>
        <w:t>1.2. Cele</w:t>
      </w:r>
      <w:bookmarkEnd w:id="8"/>
      <w:bookmarkEnd w:id="9"/>
      <w:bookmarkEnd w:id="10"/>
      <w:bookmarkEnd w:id="11"/>
      <w:r w:rsidRPr="0019447C">
        <w:rPr>
          <w:rFonts w:ascii="Verdana" w:hAnsi="Verdana"/>
          <w:color w:val="auto"/>
          <w:sz w:val="19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1. Rozpoznanie pomyślnie przeprowadzonych działań i inicjatyw podjętych w celu propagowania prywatnej inicjatywy i ducha przedsiębiorczości;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2. </w:t>
      </w:r>
      <w:r w:rsidRPr="0019447C">
        <w:rPr>
          <w:rFonts w:ascii="Verdana" w:hAnsi="Verdana"/>
          <w:sz w:val="19"/>
          <w:lang w:val="pl-PL"/>
        </w:rPr>
        <w:tab/>
        <w:t xml:space="preserve">Ukazanie i rozpowszechnienie przykładów wzorcowej polityki i praktyki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w dziedzinie przedsiębiorczości;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3. </w:t>
      </w:r>
      <w:r w:rsidRPr="0019447C">
        <w:rPr>
          <w:rFonts w:ascii="Verdana" w:hAnsi="Verdana"/>
          <w:sz w:val="19"/>
          <w:lang w:val="pl-PL"/>
        </w:rPr>
        <w:tab/>
        <w:t xml:space="preserve">Zwiększenie świadomości społecznej na temat roli odgrywanej przez przedsiębiorców, oraz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4. Zachęcanie i inspirowanie potencjalnych przedsiębiorców. </w:t>
      </w:r>
    </w:p>
    <w:p w:rsidR="00CF7C89" w:rsidRPr="0019447C" w:rsidRDefault="00CF7C89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19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sz w:val="19"/>
          <w:lang w:val="pl-PL"/>
        </w:rPr>
      </w:pPr>
      <w:bookmarkStart w:id="12" w:name="_Toc158800205"/>
      <w:bookmarkStart w:id="13" w:name="_Toc158800415"/>
      <w:bookmarkStart w:id="14" w:name="_Toc158800437"/>
      <w:bookmarkStart w:id="15" w:name="_Toc318106047"/>
      <w:r w:rsidRPr="0019447C">
        <w:rPr>
          <w:rFonts w:ascii="Verdana" w:hAnsi="Verdana"/>
          <w:color w:val="auto"/>
          <w:sz w:val="19"/>
          <w:lang w:val="pl-PL"/>
        </w:rPr>
        <w:t>1.3. Znaczenie przedsiębiorczości</w:t>
      </w:r>
      <w:bookmarkEnd w:id="12"/>
      <w:bookmarkEnd w:id="13"/>
      <w:bookmarkEnd w:id="14"/>
      <w:bookmarkEnd w:id="15"/>
      <w:r w:rsidRPr="0019447C">
        <w:rPr>
          <w:rFonts w:ascii="Verdana" w:hAnsi="Verdana"/>
          <w:color w:val="auto"/>
          <w:sz w:val="19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Polityka sprzyjająca przedsiębiorczości łączy się naturalnie z potrzebami małych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i średnich przedsiębiorstw (MŚP) stanowiących ważną część gospodarki europejskiej </w:t>
      </w:r>
      <w:r w:rsidR="00DC09C9"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>– a przy tym grupą, do której należy w Europie ponad 99% przedsiębiorstw. Sektor MŚP przyczy</w:t>
      </w:r>
      <w:r w:rsidRPr="0019447C">
        <w:rPr>
          <w:rFonts w:ascii="Verdana" w:hAnsi="Verdana" w:cs="Arial"/>
          <w:sz w:val="19"/>
          <w:lang w:val="pl-PL"/>
        </w:rPr>
        <w:t>n</w:t>
      </w:r>
      <w:r w:rsidRPr="0019447C">
        <w:rPr>
          <w:rFonts w:ascii="Verdana" w:hAnsi="Verdana"/>
          <w:sz w:val="19"/>
          <w:lang w:val="pl-PL"/>
        </w:rPr>
        <w:t xml:space="preserve">ia się do innowacji, potęgując konkurencyjność i elastyczność na rynku pracy,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a przede wszystkim jest źródłem nowych miejsc pracy.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W związku z tym DG ds. Przedsiębiorstw i Przemysłu dąży do uhonorowania inicjatyw lokalnych i regionalnych sprzyjających prowadzeniu działalności gospodarczej,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w szczególności poprzez uznanie znaczenia przedsiębiorczości.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Zważywszy na geograficzny i kulturalny zasięg zgłoszeń z całego terytorium UE, wzorcowe praktyki będą najprawdopodobniej odzwierciedlać różne sposoby promowania warunków i praktyk przyjaznych dla przedsiębiorcy przez poszczególne regiony, ośrodki, miasta gminy i społeczności. </w:t>
      </w:r>
    </w:p>
    <w:p w:rsidR="00CF7C89" w:rsidRPr="0019447C" w:rsidRDefault="00CF7C89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19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sz w:val="19"/>
          <w:lang w:val="pl-PL"/>
        </w:rPr>
      </w:pPr>
      <w:bookmarkStart w:id="16" w:name="_Toc158800206"/>
      <w:bookmarkStart w:id="17" w:name="_Toc158800416"/>
      <w:bookmarkStart w:id="18" w:name="_Toc158800438"/>
      <w:bookmarkStart w:id="19" w:name="_Toc318106048"/>
      <w:r w:rsidRPr="0019447C">
        <w:rPr>
          <w:rFonts w:ascii="Verdana" w:hAnsi="Verdana"/>
          <w:color w:val="auto"/>
          <w:sz w:val="19"/>
          <w:lang w:val="pl-PL"/>
        </w:rPr>
        <w:t>1.4. Korzyści dla uczestników i laureatów konkursu</w:t>
      </w:r>
      <w:bookmarkEnd w:id="16"/>
      <w:bookmarkEnd w:id="17"/>
      <w:bookmarkEnd w:id="18"/>
      <w:bookmarkEnd w:id="19"/>
      <w:r w:rsidRPr="0019447C">
        <w:rPr>
          <w:rFonts w:ascii="Verdana" w:hAnsi="Verdana"/>
          <w:color w:val="auto"/>
          <w:sz w:val="19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Wszyscy uczestnicy wytypowani przez swój kraj do udziału w Europejskich Nagrodach </w:t>
      </w:r>
      <w:r w:rsidRPr="0019447C">
        <w:rPr>
          <w:rFonts w:ascii="Verdana" w:hAnsi="Verdana" w:cs="Arial"/>
          <w:sz w:val="19"/>
          <w:lang w:val="pl-PL"/>
        </w:rPr>
        <w:t xml:space="preserve">Promocji </w:t>
      </w:r>
      <w:r w:rsidRPr="0019447C">
        <w:rPr>
          <w:rFonts w:ascii="Verdana" w:hAnsi="Verdana"/>
          <w:sz w:val="19"/>
          <w:lang w:val="pl-PL"/>
        </w:rPr>
        <w:t xml:space="preserve">Przedsiębiorczości zostaną zaproszeni na ceremonię wręczenia nagród.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t xml:space="preserve">Opisy analiz inicjatyw podjętych przez nominowanych zostaną umieszczone na stronie internetowej poświęconej Europejskim Nagrodom </w:t>
      </w:r>
      <w:r w:rsidRPr="0019447C">
        <w:rPr>
          <w:rFonts w:ascii="Verdana" w:hAnsi="Verdana" w:cs="Arial"/>
          <w:sz w:val="19"/>
          <w:lang w:val="pl-PL"/>
        </w:rPr>
        <w:t xml:space="preserve">Promocji </w:t>
      </w:r>
      <w:r w:rsidRPr="0019447C">
        <w:rPr>
          <w:rFonts w:ascii="Verdana" w:hAnsi="Verdana"/>
          <w:sz w:val="19"/>
          <w:lang w:val="pl-PL"/>
        </w:rPr>
        <w:t xml:space="preserve">Przedsiębiorczości, tak by dotarły do możliwie szerokich kręgów odbiorców. Kampania prasowa posłuży rozsławieniu nominowanych, wprowadzając ich na scenę międzynarodową.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 w:cs="Arial"/>
          <w:sz w:val="19"/>
          <w:lang w:val="pl-PL"/>
        </w:rPr>
        <w:t xml:space="preserve">Przewidziano dwie kategorie nagród: w </w:t>
      </w:r>
      <w:r w:rsidRPr="0019447C">
        <w:rPr>
          <w:rFonts w:ascii="Verdana" w:hAnsi="Verdana"/>
          <w:sz w:val="19"/>
          <w:lang w:val="pl-PL"/>
        </w:rPr>
        <w:t>pierwszej znajdą się laureaci wyróżnieni za twórcze wdrażanie praktyk sprzyjających przedsiębiorczości; ponadto Wysokie Jury przyzna indywidualną nagrodę główną. Niezależnie od przyznania nagród, laureaci konkursu zyskają najwyższe uzn</w:t>
      </w:r>
      <w:r w:rsidRPr="0019447C">
        <w:rPr>
          <w:rFonts w:ascii="Verdana" w:hAnsi="Verdana" w:cs="Arial"/>
          <w:sz w:val="19"/>
          <w:lang w:val="pl-PL"/>
        </w:rPr>
        <w:t>anie za twórcze i sku</w:t>
      </w:r>
      <w:r w:rsidRPr="0019447C">
        <w:rPr>
          <w:rFonts w:ascii="Verdana" w:hAnsi="Verdana"/>
          <w:sz w:val="19"/>
          <w:lang w:val="pl-PL"/>
        </w:rPr>
        <w:t xml:space="preserve">teczne wprowadzenie w życie idei przedsiębiorczości. Mogą dzięki temu inspirować innych, służąc za wzór do naśladowania w całej Unii.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19"/>
          <w:lang w:val="pl-PL"/>
        </w:rPr>
      </w:pPr>
      <w:r w:rsidRPr="0019447C">
        <w:rPr>
          <w:rFonts w:ascii="Verdana" w:hAnsi="Verdana"/>
          <w:sz w:val="19"/>
          <w:lang w:val="pl-PL"/>
        </w:rPr>
        <w:lastRenderedPageBreak/>
        <w:t xml:space="preserve">Kampanie medialne – czy to w skali kraju, czy na szczeblu europejskim – przyczynią się do zwiększenia popularności zwycięzców zarówno w społecznościach lokalnych, jak </w:t>
      </w:r>
      <w:r>
        <w:rPr>
          <w:rFonts w:ascii="Verdana" w:hAnsi="Verdana"/>
          <w:sz w:val="19"/>
          <w:lang w:val="pl-PL"/>
        </w:rPr>
        <w:br/>
      </w:r>
      <w:r w:rsidRPr="0019447C">
        <w:rPr>
          <w:rFonts w:ascii="Verdana" w:hAnsi="Verdana"/>
          <w:sz w:val="19"/>
          <w:lang w:val="pl-PL"/>
        </w:rPr>
        <w:t xml:space="preserve">i w najważniejszych mediach ogólnoeuropejskich.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19"/>
          <w:lang w:val="pl-PL"/>
        </w:rPr>
      </w:pPr>
    </w:p>
    <w:p w:rsidR="00CF7C89" w:rsidRPr="0019447C" w:rsidRDefault="00CF7C89" w:rsidP="0019447C">
      <w:pPr>
        <w:pStyle w:val="Nagwek1"/>
        <w:rPr>
          <w:rFonts w:ascii="Verdana" w:hAnsi="Verdana"/>
          <w:color w:val="auto"/>
          <w:lang w:val="pl-PL"/>
        </w:rPr>
      </w:pPr>
      <w:bookmarkStart w:id="20" w:name="_Toc158800207"/>
      <w:bookmarkStart w:id="21" w:name="_Toc158800417"/>
      <w:bookmarkStart w:id="22" w:name="_Toc158800439"/>
      <w:bookmarkStart w:id="23" w:name="_Toc318106049"/>
      <w:r w:rsidRPr="0019447C">
        <w:rPr>
          <w:rFonts w:ascii="Verdana" w:hAnsi="Verdana"/>
          <w:color w:val="auto"/>
          <w:lang w:val="pl-PL"/>
        </w:rPr>
        <w:t>2. METODYKA</w:t>
      </w:r>
      <w:bookmarkEnd w:id="20"/>
      <w:bookmarkEnd w:id="21"/>
      <w:bookmarkEnd w:id="22"/>
      <w:bookmarkEnd w:id="23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24" w:name="_Toc158800208"/>
      <w:bookmarkStart w:id="25" w:name="_Toc158800418"/>
      <w:bookmarkStart w:id="26" w:name="_Toc158800440"/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27" w:name="_Toc318106050"/>
      <w:r w:rsidRPr="0019447C">
        <w:rPr>
          <w:rFonts w:ascii="Verdana" w:hAnsi="Verdana"/>
          <w:color w:val="auto"/>
          <w:lang w:val="pl-PL"/>
        </w:rPr>
        <w:t>2.1. Uczestnicy</w:t>
      </w:r>
      <w:bookmarkEnd w:id="24"/>
      <w:bookmarkEnd w:id="25"/>
      <w:bookmarkEnd w:id="26"/>
      <w:bookmarkEnd w:id="27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D61843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konkursie mogą brać udział władze lokalne i regionalne z UE, </w:t>
      </w:r>
      <w:r w:rsidRPr="0019447C">
        <w:rPr>
          <w:rFonts w:ascii="Verdana" w:hAnsi="Verdana" w:cs="Arial"/>
          <w:sz w:val="20"/>
          <w:lang w:val="pl-PL"/>
        </w:rPr>
        <w:t>Chorwacji, Islandii</w:t>
      </w:r>
      <w:r w:rsidRPr="0019447C">
        <w:rPr>
          <w:rFonts w:ascii="Verdana" w:hAnsi="Verdana"/>
          <w:sz w:val="20"/>
          <w:lang w:val="pl-PL"/>
        </w:rPr>
        <w:t xml:space="preserve">, Norwegii, Serbii i Turcji. Mimo, że konkurs kładzie szczególny nacisk na działania na poziomie lokalnym i regionalnym, narodowe inicjatywy także mogą być zgłaszane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>w kategoriach: "</w:t>
      </w:r>
      <w:r>
        <w:rPr>
          <w:rFonts w:ascii="Verdana" w:hAnsi="Verdana"/>
          <w:b/>
          <w:sz w:val="20"/>
          <w:u w:val="single"/>
          <w:lang w:val="pl-PL"/>
        </w:rPr>
        <w:t>Promowanie</w:t>
      </w:r>
      <w:r w:rsidRPr="0019447C">
        <w:rPr>
          <w:rFonts w:ascii="Verdana" w:hAnsi="Verdana"/>
          <w:b/>
          <w:sz w:val="20"/>
          <w:u w:val="single"/>
          <w:lang w:val="pl-PL"/>
        </w:rPr>
        <w:t xml:space="preserve"> ducha przedsiębiorczości</w:t>
      </w:r>
      <w:r w:rsidRPr="0019447C">
        <w:rPr>
          <w:rFonts w:ascii="Verdana" w:hAnsi="Verdana" w:cs="Arial"/>
          <w:sz w:val="20"/>
          <w:lang w:val="pl-PL"/>
        </w:rPr>
        <w:t>" oraz "</w:t>
      </w:r>
      <w:r w:rsidRPr="0019447C">
        <w:rPr>
          <w:rFonts w:ascii="Verdana" w:hAnsi="Verdana" w:cs="Arial"/>
          <w:b/>
          <w:sz w:val="20"/>
          <w:u w:val="single"/>
          <w:lang w:val="pl-PL"/>
        </w:rPr>
        <w:t>Wspieranie internacjonalizacji biznesu</w:t>
      </w:r>
      <w:r w:rsidRPr="0019447C">
        <w:rPr>
          <w:rFonts w:ascii="Verdana" w:hAnsi="Verdana"/>
          <w:sz w:val="20"/>
          <w:lang w:val="pl-PL"/>
        </w:rPr>
        <w:t xml:space="preserve">". </w:t>
      </w:r>
      <w:r w:rsidRPr="00D61843">
        <w:rPr>
          <w:rFonts w:ascii="Verdana" w:hAnsi="Verdana"/>
          <w:sz w:val="20"/>
          <w:lang w:val="pl-PL"/>
        </w:rPr>
        <w:t>Konkurs adresowany jest do władz lokalnych, regionalnych i krajowych, do miast, regionów, wspólnot, organizacji biznesowych, instytucji realizujących programy edukacyjne, jak również do jednostek samorządu terytorialnego, które wspólnie z przedsiębiorcami realizują projekty w formule partnerstwa publiczno-prywatnego.</w:t>
      </w:r>
      <w:r>
        <w:rPr>
          <w:rFonts w:ascii="Verdana" w:hAnsi="Verdana"/>
          <w:sz w:val="20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0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28" w:name="_Toc158800209"/>
      <w:bookmarkStart w:id="29" w:name="_Toc158800419"/>
      <w:bookmarkStart w:id="30" w:name="_Toc158800441"/>
      <w:bookmarkStart w:id="31" w:name="_Toc318106051"/>
      <w:r w:rsidRPr="0019447C">
        <w:rPr>
          <w:rFonts w:ascii="Verdana" w:hAnsi="Verdana"/>
          <w:color w:val="auto"/>
          <w:lang w:val="pl-PL"/>
        </w:rPr>
        <w:t>2.2. Kategorie</w:t>
      </w:r>
      <w:bookmarkEnd w:id="28"/>
      <w:bookmarkEnd w:id="29"/>
      <w:bookmarkEnd w:id="30"/>
      <w:bookmarkEnd w:id="31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każdej spośród pięciu kategorii nagradzane są lokalne bądź regionalne inicjatywy skutecznie stymulujące efektywność przedsiębiorców: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707674">
      <w:pPr>
        <w:numPr>
          <w:ilvl w:val="0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b/>
          <w:sz w:val="20"/>
          <w:u w:val="single"/>
          <w:lang w:val="pl-PL"/>
        </w:rPr>
        <w:t>Promowanie ducha przedsiębiorczości</w:t>
      </w:r>
      <w:r w:rsidRPr="0019447C">
        <w:rPr>
          <w:rFonts w:ascii="Verdana" w:hAnsi="Verdana" w:cs="Arial"/>
          <w:sz w:val="20"/>
          <w:u w:val="single"/>
          <w:lang w:val="pl-PL"/>
        </w:rPr>
        <w:t>:</w:t>
      </w:r>
      <w:r w:rsidRPr="0019447C">
        <w:rPr>
          <w:rFonts w:ascii="Verdana" w:hAnsi="Verdana"/>
          <w:sz w:val="20"/>
          <w:lang w:val="pl-PL"/>
        </w:rPr>
        <w:t xml:space="preserve"> nagroda w tej kategorii jest przyznawana za działania i inicjatywy na szczeblu krajowym, regionalnym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i lokalnym, które promują przedsiębiorczy sposób myślenia, zwłaszcza wśród młodych ludzi i wśród kobiet. 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i/>
          <w:sz w:val="20"/>
          <w:lang w:val="pl-PL"/>
        </w:rPr>
      </w:pPr>
      <w:r w:rsidRPr="0019447C">
        <w:rPr>
          <w:rFonts w:ascii="Verdana" w:hAnsi="Verdana"/>
          <w:i/>
          <w:sz w:val="20"/>
          <w:lang w:val="pl-PL"/>
        </w:rPr>
        <w:t>Przykłady: działania i programy promujące przedsiębiorców i działania przedsiębiorcze oraz kulturę kreatywności, innowacyjności i gotowości na ryzyko</w:t>
      </w:r>
      <w:r w:rsidRPr="0019447C">
        <w:rPr>
          <w:rFonts w:ascii="Verdana" w:hAnsi="Verdana" w:cs="Arial"/>
          <w:sz w:val="20"/>
          <w:lang w:val="pl-PL"/>
        </w:rPr>
        <w:t>.</w:t>
      </w:r>
    </w:p>
    <w:p w:rsidR="00CF7C89" w:rsidRPr="0019447C" w:rsidRDefault="00CF7C89" w:rsidP="0019447C">
      <w:pPr>
        <w:ind w:left="720"/>
        <w:jc w:val="both"/>
        <w:rPr>
          <w:rFonts w:ascii="Verdana" w:hAnsi="Verdana" w:cs="MyriadPro-BoldCond"/>
          <w:b/>
          <w:bCs/>
          <w:sz w:val="20"/>
          <w:lang w:val="pl-PL"/>
        </w:rPr>
      </w:pPr>
    </w:p>
    <w:p w:rsidR="00CF7C89" w:rsidRPr="0019447C" w:rsidRDefault="00CF7C89" w:rsidP="00707674">
      <w:pPr>
        <w:numPr>
          <w:ilvl w:val="0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MyriadPro-BoldCond"/>
          <w:b/>
          <w:bCs/>
          <w:sz w:val="20"/>
          <w:u w:val="single"/>
          <w:lang w:val="pl-PL"/>
        </w:rPr>
        <w:t>Inwestowanie w umiejętności</w:t>
      </w:r>
      <w:r w:rsidRPr="0019447C">
        <w:rPr>
          <w:rFonts w:ascii="Verdana" w:hAnsi="Verdana" w:cs="Arial"/>
          <w:sz w:val="20"/>
          <w:u w:val="single"/>
          <w:lang w:val="pl-PL"/>
        </w:rPr>
        <w:t>:</w:t>
      </w:r>
      <w:r w:rsidRPr="0019447C">
        <w:rPr>
          <w:rFonts w:ascii="Verdana" w:hAnsi="Verdana"/>
          <w:sz w:val="20"/>
          <w:lang w:val="pl-PL"/>
        </w:rPr>
        <w:t xml:space="preserve"> Nagroda w tej kategorii przyznawana jest za działania na szczeblu regionalnym lub lokalnym na rzecz doskonalenia umiejętności przedsiębiorczych, zawodowych, technicznych i menedżerskich.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i/>
          <w:sz w:val="20"/>
          <w:lang w:val="pl-PL"/>
        </w:rPr>
        <w:t>Przykłady: promowanie konkretnych umiejętności takich jak umiejętności techniczne niezbędne rzemieślnikom, nauki języków, obsługi komputera, programów mentorskich, programów w zakresie mobilności dla przedsiębiorców, programów nauczania przedsiębiorczości w szkołach</w:t>
      </w:r>
      <w:r w:rsidRPr="0019447C">
        <w:rPr>
          <w:rFonts w:ascii="Verdana" w:hAnsi="Verdana" w:cs="Arial"/>
          <w:i/>
          <w:sz w:val="20"/>
          <w:lang w:val="pl-PL"/>
        </w:rPr>
        <w:t xml:space="preserve"> i na uc</w:t>
      </w:r>
      <w:r w:rsidRPr="0019447C">
        <w:rPr>
          <w:rFonts w:ascii="Verdana" w:hAnsi="Verdana"/>
          <w:i/>
          <w:sz w:val="20"/>
          <w:lang w:val="pl-PL"/>
        </w:rPr>
        <w:t>zelniach wyższych itp</w:t>
      </w:r>
      <w:r w:rsidRPr="0019447C">
        <w:rPr>
          <w:rFonts w:ascii="Verdana" w:hAnsi="Verdana" w:cs="Arial"/>
          <w:sz w:val="20"/>
          <w:lang w:val="pl-PL"/>
        </w:rPr>
        <w:t>.</w:t>
      </w:r>
    </w:p>
    <w:p w:rsidR="00CF7C89" w:rsidRPr="0019447C" w:rsidRDefault="00CF7C89" w:rsidP="0019447C">
      <w:pPr>
        <w:ind w:left="720"/>
        <w:jc w:val="both"/>
        <w:rPr>
          <w:rFonts w:ascii="Verdana" w:hAnsi="Verdana" w:cs="MyriadPro-Cond"/>
          <w:sz w:val="20"/>
          <w:lang w:val="pl-PL"/>
        </w:rPr>
      </w:pPr>
    </w:p>
    <w:p w:rsidR="00CF7C89" w:rsidRPr="0019447C" w:rsidRDefault="00CF7C89" w:rsidP="00707674">
      <w:pPr>
        <w:numPr>
          <w:ilvl w:val="0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b/>
          <w:sz w:val="20"/>
          <w:u w:val="single"/>
          <w:lang w:val="pl-PL"/>
        </w:rPr>
        <w:t>Rozwój środowiska biznesowego</w:t>
      </w:r>
      <w:r w:rsidRPr="0019447C">
        <w:rPr>
          <w:rFonts w:ascii="Verdana" w:hAnsi="Verdana" w:cs="Arial"/>
          <w:sz w:val="20"/>
          <w:u w:val="single"/>
          <w:lang w:val="pl-PL"/>
        </w:rPr>
        <w:t>:</w:t>
      </w:r>
      <w:r w:rsidRPr="0019447C">
        <w:rPr>
          <w:rFonts w:ascii="Verdana" w:hAnsi="Verdana"/>
          <w:sz w:val="20"/>
          <w:lang w:val="pl-PL"/>
        </w:rPr>
        <w:t xml:space="preserve"> Nagroda przyznawana jest za innowacyjną politykę na szczeblu regionalnym lub lokalnym w zakresie promocji rozpoczynania i rozwijania działalności, ułatwiania procedur ustawodawczych i administracyjnych dla firm oraz wdrażania zasady myślenia najpierw na małą skalę z korzyścią dla małych i średnich przedsiębiorstw. 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i/>
          <w:sz w:val="20"/>
          <w:lang w:val="pl-PL"/>
        </w:rPr>
      </w:pPr>
      <w:r w:rsidRPr="0019447C">
        <w:rPr>
          <w:rFonts w:ascii="Verdana" w:hAnsi="Verdana"/>
          <w:i/>
          <w:sz w:val="20"/>
          <w:lang w:val="pl-PL"/>
        </w:rPr>
        <w:t>Przykłady: działania ułatwiające MŚP dostęp do rynku zamówień publicznych, ograniczające biurokrację, sprzyjające rozwojowi nowych firm oraz wspomagające promocję potencjału innowacyjnego technologii informacyjnych i komunikacyjnych oraz e-biznesu.</w:t>
      </w:r>
    </w:p>
    <w:p w:rsidR="00CF7C89" w:rsidRPr="0019447C" w:rsidRDefault="00CF7C89" w:rsidP="0019447C">
      <w:pPr>
        <w:ind w:left="720"/>
        <w:jc w:val="both"/>
        <w:rPr>
          <w:rFonts w:ascii="Verdana" w:hAnsi="Verdana" w:cs="MyriadPro-Cond"/>
          <w:sz w:val="20"/>
          <w:lang w:val="pl-PL"/>
        </w:rPr>
      </w:pPr>
    </w:p>
    <w:p w:rsidR="00CF7C89" w:rsidRPr="0019447C" w:rsidRDefault="00CF7C89" w:rsidP="00707674">
      <w:pPr>
        <w:numPr>
          <w:ilvl w:val="0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b/>
          <w:sz w:val="20"/>
          <w:u w:val="single"/>
          <w:lang w:val="pl-PL"/>
        </w:rPr>
        <w:t>Wspieranie internacjonalizacji biznesu</w:t>
      </w:r>
      <w:r w:rsidRPr="0019447C">
        <w:rPr>
          <w:rFonts w:ascii="Verdana" w:hAnsi="Verdana" w:cs="Arial"/>
          <w:sz w:val="20"/>
          <w:u w:val="single"/>
          <w:lang w:val="pl-PL"/>
        </w:rPr>
        <w:t>:</w:t>
      </w:r>
      <w:r w:rsidRPr="0019447C">
        <w:rPr>
          <w:rFonts w:ascii="Verdana" w:hAnsi="Verdana"/>
          <w:sz w:val="20"/>
          <w:lang w:val="pl-PL"/>
        </w:rPr>
        <w:t xml:space="preserve"> Nagroda ta przyznawana jest za działania zachęcające firmy, a zwłaszcza małe i średnie przedsiębiorstwa, do korzystania z możliwości ofer</w:t>
      </w:r>
      <w:r>
        <w:rPr>
          <w:rFonts w:ascii="Verdana" w:hAnsi="Verdana"/>
          <w:sz w:val="20"/>
          <w:lang w:val="pl-PL"/>
        </w:rPr>
        <w:t xml:space="preserve">owanych przez rynki wspólnotowe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i pozawspólnotowe na większą skalę. 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i/>
          <w:sz w:val="20"/>
          <w:lang w:val="pl-PL"/>
        </w:rPr>
      </w:pPr>
      <w:r w:rsidRPr="0019447C">
        <w:rPr>
          <w:rFonts w:ascii="Verdana" w:hAnsi="Verdana"/>
          <w:i/>
          <w:sz w:val="20"/>
          <w:lang w:val="pl-PL"/>
        </w:rPr>
        <w:t xml:space="preserve">Przykłady: projekty na rzecz nawiązywania, utrzymywania i zacieśniania międzynarodowej współpracy przedsiębiorstw, narzędzia ułatwiające wymianę </w:t>
      </w:r>
      <w:r w:rsidRPr="0019447C">
        <w:rPr>
          <w:rFonts w:ascii="Verdana" w:hAnsi="Verdana"/>
          <w:i/>
          <w:sz w:val="20"/>
          <w:lang w:val="pl-PL"/>
        </w:rPr>
        <w:lastRenderedPageBreak/>
        <w:t>informacji lub nawiązywanie kontaktów, usługi doradcze lub projekty ułatwiające MŚP ekspansję zagraniczną.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707674">
      <w:pPr>
        <w:numPr>
          <w:ilvl w:val="0"/>
          <w:numId w:val="12"/>
        </w:numPr>
        <w:tabs>
          <w:tab w:val="clear" w:pos="1080"/>
          <w:tab w:val="num" w:pos="720"/>
        </w:tabs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b/>
          <w:sz w:val="20"/>
          <w:u w:val="single"/>
          <w:lang w:val="pl-PL"/>
        </w:rPr>
        <w:t>Przedsiębiorczość odpowiedzialna i wspierająca włączenie społeczne</w:t>
      </w:r>
      <w:r w:rsidRPr="0019447C">
        <w:rPr>
          <w:rFonts w:ascii="Verdana" w:hAnsi="Verdana" w:cs="Arial"/>
          <w:sz w:val="20"/>
          <w:u w:val="single"/>
          <w:lang w:val="pl-PL"/>
        </w:rPr>
        <w:t>:</w:t>
      </w:r>
      <w:r w:rsidRPr="0019447C">
        <w:rPr>
          <w:rFonts w:ascii="Verdana" w:hAnsi="Verdana"/>
          <w:sz w:val="20"/>
          <w:lang w:val="pl-PL"/>
        </w:rPr>
        <w:t xml:space="preserve"> nagroda przyznawana za działania regionalne i lokalne, które promują odpowiedzialność społeczną i odpowiedzialną działalność w zakresie społeczeństwa i/lub ekologii.  W tej kategorii nagradzamy również za działania promujące przedsiębiorczość wśród grup </w:t>
      </w:r>
      <w:r w:rsidRPr="0019447C">
        <w:rPr>
          <w:rFonts w:ascii="Verdana" w:hAnsi="Verdana" w:cs="Arial"/>
          <w:sz w:val="20"/>
          <w:lang w:val="pl-PL"/>
        </w:rPr>
        <w:t>o</w:t>
      </w:r>
      <w:r w:rsidRPr="0019447C">
        <w:rPr>
          <w:rFonts w:ascii="Verdana" w:hAnsi="Verdana"/>
          <w:sz w:val="20"/>
          <w:lang w:val="pl-PL"/>
        </w:rPr>
        <w:t xml:space="preserve"> trudniejszej sytuacji, takich jak bezrobotni, niepełnosprawni lub mniejszości etniczne.</w:t>
      </w:r>
    </w:p>
    <w:p w:rsidR="00CF7C89" w:rsidRPr="0019447C" w:rsidRDefault="00CF7C89" w:rsidP="0019447C">
      <w:pPr>
        <w:ind w:left="720"/>
        <w:jc w:val="both"/>
        <w:rPr>
          <w:rFonts w:ascii="Verdana" w:hAnsi="Verdana" w:cs="Arial"/>
          <w:i/>
          <w:sz w:val="20"/>
          <w:lang w:val="pl-PL"/>
        </w:rPr>
      </w:pPr>
      <w:r w:rsidRPr="0019447C">
        <w:rPr>
          <w:rFonts w:ascii="Verdana" w:hAnsi="Verdana" w:cs="Arial"/>
          <w:i/>
          <w:sz w:val="20"/>
          <w:lang w:val="pl-PL"/>
        </w:rPr>
        <w:t>Prz</w:t>
      </w:r>
      <w:r w:rsidRPr="0019447C">
        <w:rPr>
          <w:rFonts w:ascii="Verdana" w:hAnsi="Verdana"/>
          <w:i/>
          <w:sz w:val="20"/>
          <w:lang w:val="pl-PL"/>
        </w:rPr>
        <w:t xml:space="preserve">ykłady: przedsiębiorstwa społeczne lub przedsiębiorstwa typu „non-profit” realizujące potrzeby społeczności. Inicjatywy wspierające rozwiązania biznesowe związane z radzeniem sobie z problemami ochrony środowiska </w:t>
      </w:r>
      <w:r>
        <w:rPr>
          <w:rFonts w:ascii="Verdana" w:hAnsi="Verdana"/>
          <w:i/>
          <w:sz w:val="20"/>
          <w:lang w:val="pl-PL"/>
        </w:rPr>
        <w:br/>
      </w:r>
      <w:r w:rsidRPr="0019447C">
        <w:rPr>
          <w:rFonts w:ascii="Verdana" w:hAnsi="Verdana"/>
          <w:i/>
          <w:sz w:val="20"/>
          <w:lang w:val="pl-PL"/>
        </w:rPr>
        <w:t>i zmiany klimatu, na przykład czyste i ziel</w:t>
      </w:r>
      <w:r w:rsidRPr="0019447C">
        <w:rPr>
          <w:rFonts w:ascii="Verdana" w:hAnsi="Verdana" w:cs="Arial"/>
          <w:i/>
          <w:sz w:val="20"/>
          <w:lang w:val="pl-PL"/>
        </w:rPr>
        <w:t>one technologie.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Europejskie Jury konkursu przyzna również </w:t>
      </w:r>
      <w:r w:rsidRPr="0019447C">
        <w:rPr>
          <w:rFonts w:ascii="Verdana" w:hAnsi="Verdana"/>
          <w:sz w:val="20"/>
          <w:u w:val="single"/>
          <w:lang w:val="pl-PL"/>
        </w:rPr>
        <w:t>nagrodę główną</w:t>
      </w:r>
      <w:r w:rsidRPr="0019447C">
        <w:rPr>
          <w:rFonts w:ascii="Verdana" w:hAnsi="Verdana"/>
          <w:sz w:val="20"/>
          <w:lang w:val="pl-PL"/>
        </w:rPr>
        <w:t xml:space="preserve"> za najbardziej twórczą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i inspirującą inicjatywę w dziedzinie propagowania przedsiębiorczości. 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0"/>
          <w:lang w:val="pl-PL"/>
        </w:rPr>
      </w:pPr>
    </w:p>
    <w:p w:rsidR="00CF7C89" w:rsidRPr="0019447C" w:rsidRDefault="00CF7C89" w:rsidP="0019447C">
      <w:pPr>
        <w:pStyle w:val="Nagwek2"/>
        <w:jc w:val="both"/>
        <w:rPr>
          <w:rFonts w:ascii="Verdana" w:hAnsi="Verdana"/>
          <w:color w:val="auto"/>
          <w:lang w:val="pl-PL"/>
        </w:rPr>
      </w:pPr>
      <w:bookmarkStart w:id="32" w:name="_Toc158800210"/>
      <w:bookmarkStart w:id="33" w:name="_Toc158800420"/>
      <w:bookmarkStart w:id="34" w:name="_Toc158800442"/>
      <w:bookmarkStart w:id="35" w:name="_Toc318106052"/>
      <w:r w:rsidRPr="0019447C">
        <w:rPr>
          <w:rFonts w:ascii="Verdana" w:hAnsi="Verdana"/>
          <w:color w:val="auto"/>
          <w:lang w:val="pl-PL"/>
        </w:rPr>
        <w:t>2.3. Dwustopniowe eliminacje</w:t>
      </w:r>
      <w:bookmarkEnd w:id="32"/>
      <w:bookmarkEnd w:id="33"/>
      <w:bookmarkEnd w:id="34"/>
      <w:bookmarkEnd w:id="35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Eliminacje inicjatyw zgłoszonych do Europejskich Nagród </w:t>
      </w:r>
      <w:r w:rsidRPr="0019447C">
        <w:rPr>
          <w:rFonts w:ascii="Verdana" w:hAnsi="Verdana" w:cs="Arial"/>
          <w:sz w:val="20"/>
          <w:lang w:val="pl-PL"/>
        </w:rPr>
        <w:t xml:space="preserve">Promocji </w:t>
      </w:r>
      <w:r w:rsidRPr="0019447C">
        <w:rPr>
          <w:rFonts w:ascii="Verdana" w:hAnsi="Verdana"/>
          <w:sz w:val="20"/>
          <w:lang w:val="pl-PL"/>
        </w:rPr>
        <w:t>Przedsiębiorczoś</w:t>
      </w:r>
      <w:r>
        <w:rPr>
          <w:rFonts w:ascii="Verdana" w:hAnsi="Verdana"/>
          <w:sz w:val="20"/>
          <w:lang w:val="pl-PL"/>
        </w:rPr>
        <w:t xml:space="preserve">ci odbędą się w dwóch etapach: </w:t>
      </w:r>
      <w:r w:rsidRPr="0019447C">
        <w:rPr>
          <w:rFonts w:ascii="Verdana" w:hAnsi="Verdana"/>
          <w:sz w:val="20"/>
          <w:lang w:val="pl-PL"/>
        </w:rPr>
        <w:t xml:space="preserve">pierwszy stopień stanowią eliminacje krajowe, bez których nie można być zakwalifikowanym do udziału w konkursie europejskim. 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lang w:val="pl-PL"/>
        </w:rPr>
      </w:pPr>
    </w:p>
    <w:p w:rsidR="00CF7C89" w:rsidRPr="0019447C" w:rsidRDefault="00CF7C89" w:rsidP="0019447C">
      <w:pPr>
        <w:pStyle w:val="Nagwek2"/>
        <w:keepNext/>
        <w:rPr>
          <w:rFonts w:ascii="Verdana" w:hAnsi="Verdana"/>
          <w:color w:val="auto"/>
          <w:lang w:val="pl-PL"/>
        </w:rPr>
      </w:pPr>
      <w:bookmarkStart w:id="36" w:name="_Toc158800421"/>
      <w:bookmarkStart w:id="37" w:name="_Toc158800443"/>
      <w:bookmarkStart w:id="38" w:name="_Toc318106053"/>
      <w:r w:rsidRPr="0019447C">
        <w:rPr>
          <w:rFonts w:ascii="Verdana" w:hAnsi="Verdana"/>
          <w:color w:val="auto"/>
          <w:lang w:val="pl-PL"/>
        </w:rPr>
        <w:t>2.3.1. Na szczeblu krajowym</w:t>
      </w:r>
      <w:bookmarkEnd w:id="36"/>
      <w:bookmarkEnd w:id="37"/>
      <w:bookmarkEnd w:id="38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Każde z uczestniczących państw wyznacza centralny p</w:t>
      </w:r>
      <w:r w:rsidRPr="0019447C">
        <w:rPr>
          <w:rFonts w:ascii="Verdana" w:hAnsi="Verdana" w:cs="Arial"/>
          <w:sz w:val="20"/>
          <w:lang w:val="pl-PL"/>
        </w:rPr>
        <w:t>unkt kontaktowy (</w:t>
      </w:r>
      <w:r>
        <w:rPr>
          <w:rFonts w:ascii="Verdana" w:hAnsi="Verdana" w:cs="Arial"/>
          <w:sz w:val="20"/>
          <w:lang w:val="pl-PL"/>
        </w:rPr>
        <w:t>KPK</w:t>
      </w:r>
      <w:r w:rsidRPr="0019447C">
        <w:rPr>
          <w:rFonts w:ascii="Verdana" w:hAnsi="Verdana" w:cs="Arial"/>
          <w:sz w:val="20"/>
          <w:lang w:val="pl-PL"/>
        </w:rPr>
        <w:t xml:space="preserve">).  </w:t>
      </w:r>
    </w:p>
    <w:p w:rsidR="00CF7C89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sz w:val="20"/>
          <w:lang w:val="pl-PL"/>
        </w:rPr>
        <w:t>KPK</w:t>
      </w:r>
      <w:r w:rsidRPr="0019447C">
        <w:rPr>
          <w:rFonts w:ascii="Verdana" w:hAnsi="Verdana" w:cs="Arial"/>
          <w:sz w:val="20"/>
          <w:lang w:val="pl-PL"/>
        </w:rPr>
        <w:t xml:space="preserve"> </w:t>
      </w:r>
      <w:r w:rsidRPr="0019447C">
        <w:rPr>
          <w:rFonts w:ascii="Verdana" w:hAnsi="Verdana"/>
          <w:sz w:val="20"/>
          <w:u w:val="single"/>
          <w:lang w:val="pl-PL"/>
        </w:rPr>
        <w:t>propagują</w:t>
      </w:r>
      <w:r w:rsidRPr="0019447C">
        <w:rPr>
          <w:rFonts w:ascii="Verdana" w:hAnsi="Verdana"/>
          <w:sz w:val="20"/>
          <w:lang w:val="pl-PL"/>
        </w:rPr>
        <w:t xml:space="preserve"> ideę konkursu na terytorium swojego kraju, zapraszając wszelkie interesujące inicjatywy do uczestnictwa w eliminacjach krajowych. Zadaniem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jest op</w:t>
      </w:r>
      <w:r w:rsidRPr="0019447C">
        <w:rPr>
          <w:rFonts w:ascii="Verdana" w:hAnsi="Verdana" w:cs="Arial"/>
          <w:sz w:val="20"/>
          <w:lang w:val="pl-PL"/>
        </w:rPr>
        <w:t xml:space="preserve">racowanie </w:t>
      </w:r>
      <w:r w:rsidRPr="0019447C">
        <w:rPr>
          <w:rFonts w:ascii="Verdana" w:hAnsi="Verdana" w:cs="Arial"/>
          <w:b/>
          <w:sz w:val="20"/>
          <w:u w:val="single"/>
          <w:lang w:val="pl-PL"/>
        </w:rPr>
        <w:t>harmonogramu konkursu</w:t>
      </w:r>
      <w:r w:rsidRPr="0019447C">
        <w:rPr>
          <w:rFonts w:ascii="Verdana" w:hAnsi="Verdana"/>
          <w:sz w:val="20"/>
          <w:lang w:val="pl-PL"/>
        </w:rPr>
        <w:t xml:space="preserve">.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może zadecydować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o przeprowadzeniu dodatkowego konkursu na szczeblu krajowym. Wspólnota udostępnia standardowe formularze zgłoszenia uczestnictwa na poziomie </w:t>
      </w:r>
      <w:r>
        <w:rPr>
          <w:rFonts w:ascii="Verdana" w:hAnsi="Verdana"/>
          <w:sz w:val="20"/>
          <w:lang w:val="pl-PL"/>
        </w:rPr>
        <w:t xml:space="preserve">krajowym za pośrednictwem KPK. </w:t>
      </w:r>
    </w:p>
    <w:p w:rsidR="00CF7C89" w:rsidRPr="00C53E75" w:rsidRDefault="00CF7C89" w:rsidP="00C53E75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C53E75">
        <w:rPr>
          <w:rFonts w:ascii="Verdana" w:hAnsi="Verdana"/>
          <w:sz w:val="20"/>
          <w:lang w:val="pl-PL"/>
        </w:rPr>
        <w:t xml:space="preserve">KPK zaprasza do współpracy Urzędy Marszałkowskie w celu utworzenia 16 regionalnych punktów kontaktowych (RPK). </w:t>
      </w:r>
    </w:p>
    <w:p w:rsidR="00CF7C89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sz w:val="20"/>
          <w:lang w:val="pl-PL"/>
        </w:rPr>
        <w:t xml:space="preserve">i RPK </w:t>
      </w:r>
      <w:r w:rsidRPr="0019447C">
        <w:rPr>
          <w:rFonts w:ascii="Verdana" w:hAnsi="Verdana"/>
          <w:sz w:val="20"/>
          <w:lang w:val="pl-PL"/>
        </w:rPr>
        <w:t xml:space="preserve">powinny pełnić rolę </w:t>
      </w:r>
      <w:r w:rsidRPr="0019447C">
        <w:rPr>
          <w:rFonts w:ascii="Verdana" w:hAnsi="Verdana"/>
          <w:sz w:val="20"/>
          <w:u w:val="single"/>
          <w:lang w:val="pl-PL"/>
        </w:rPr>
        <w:t>punktu obsługi</w:t>
      </w:r>
      <w:r w:rsidRPr="0019447C">
        <w:rPr>
          <w:rFonts w:ascii="Verdana" w:hAnsi="Verdana"/>
          <w:sz w:val="20"/>
          <w:lang w:val="pl-PL"/>
        </w:rPr>
        <w:t xml:space="preserve"> ewentualnych uczestników zainteresowanych szczegółowymi regułami lub wskazówkami przy składaniu swojej kandydatury. Wskazówki na temat udzielania nominacji zawarto w ni</w:t>
      </w:r>
      <w:r>
        <w:rPr>
          <w:rFonts w:ascii="Verdana" w:hAnsi="Verdana"/>
          <w:sz w:val="20"/>
          <w:lang w:val="pl-PL"/>
        </w:rPr>
        <w:t xml:space="preserve">niejszym dokumencie.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RPK na szczeblu regionalnym dokonują ocen formalnej formularzy zgłoszeniowych, </w:t>
      </w:r>
      <w:r>
        <w:rPr>
          <w:rFonts w:ascii="Verdana" w:hAnsi="Verdana"/>
          <w:sz w:val="20"/>
          <w:lang w:val="pl-PL"/>
        </w:rPr>
        <w:br/>
        <w:t xml:space="preserve">a następnie przekazują je do KPK.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Po zakończeniu przyjmowania zgłoszeń,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</w:t>
      </w:r>
      <w:r w:rsidRPr="0019447C">
        <w:rPr>
          <w:rFonts w:ascii="Verdana" w:hAnsi="Verdana" w:cs="Arial"/>
          <w:sz w:val="20"/>
          <w:u w:val="single"/>
          <w:lang w:val="pl-PL"/>
        </w:rPr>
        <w:t>wybieraj</w:t>
      </w:r>
      <w:r w:rsidRPr="0019447C">
        <w:rPr>
          <w:rFonts w:ascii="Verdana" w:hAnsi="Verdana"/>
          <w:sz w:val="20"/>
          <w:u w:val="single"/>
          <w:lang w:val="pl-PL"/>
        </w:rPr>
        <w:t>ą</w:t>
      </w:r>
      <w:r w:rsidRPr="0019447C">
        <w:rPr>
          <w:rFonts w:ascii="Verdana" w:hAnsi="Verdana"/>
          <w:sz w:val="20"/>
          <w:lang w:val="pl-PL"/>
        </w:rPr>
        <w:t xml:space="preserve"> do dwóch projektów, typując je jako uczestników europejskiego konkursu.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Zasady eliminacji w każdym z państw określane są przez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, przy czym każde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z państw na żądanie Komisji Europejskiej musi przedstawić uzasadnienie dokonanego wyboru w postaci </w:t>
      </w:r>
      <w:r w:rsidRPr="0019447C">
        <w:rPr>
          <w:rFonts w:ascii="Verdana" w:hAnsi="Verdana" w:cs="Arial"/>
          <w:sz w:val="20"/>
          <w:u w:val="single"/>
          <w:lang w:val="pl-PL"/>
        </w:rPr>
        <w:t>przejr</w:t>
      </w:r>
      <w:r w:rsidRPr="0019447C">
        <w:rPr>
          <w:rFonts w:ascii="Verdana" w:hAnsi="Verdana"/>
          <w:sz w:val="20"/>
          <w:u w:val="single"/>
          <w:lang w:val="pl-PL"/>
        </w:rPr>
        <w:t>zystego protokołu</w:t>
      </w:r>
      <w:r>
        <w:rPr>
          <w:rFonts w:ascii="Verdana" w:hAnsi="Verdana" w:cs="Arial"/>
          <w:sz w:val="20"/>
          <w:lang w:val="pl-PL"/>
        </w:rPr>
        <w:t xml:space="preserve"> z obrad Jury.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>
        <w:rPr>
          <w:rFonts w:ascii="Verdana" w:hAnsi="Verdana"/>
          <w:sz w:val="20"/>
          <w:u w:val="single"/>
          <w:lang w:val="pl-PL"/>
        </w:rPr>
        <w:t>D</w:t>
      </w:r>
      <w:r w:rsidRPr="0019447C">
        <w:rPr>
          <w:rFonts w:ascii="Verdana" w:hAnsi="Verdana"/>
          <w:sz w:val="20"/>
          <w:u w:val="single"/>
          <w:lang w:val="pl-PL"/>
        </w:rPr>
        <w:t xml:space="preserve">ane państwo może zgłosić do Europejskich Nagród </w:t>
      </w:r>
      <w:r w:rsidRPr="0019447C">
        <w:rPr>
          <w:rFonts w:ascii="Verdana" w:hAnsi="Verdana" w:cs="Arial"/>
          <w:sz w:val="20"/>
          <w:u w:val="single"/>
          <w:lang w:val="pl-PL"/>
        </w:rPr>
        <w:t>Promocji</w:t>
      </w:r>
      <w:r w:rsidRPr="0019447C">
        <w:rPr>
          <w:rFonts w:ascii="Verdana" w:hAnsi="Verdana"/>
          <w:sz w:val="20"/>
          <w:u w:val="single"/>
          <w:lang w:val="pl-PL"/>
        </w:rPr>
        <w:t xml:space="preserve"> Przedsiębiorczości nie więcej niż dwóch kandydatów</w:t>
      </w:r>
      <w:r>
        <w:rPr>
          <w:rFonts w:ascii="Verdana" w:hAnsi="Verdana"/>
          <w:sz w:val="20"/>
          <w:u w:val="single"/>
          <w:lang w:val="pl-PL"/>
        </w:rPr>
        <w:t>. Kandydaci muszą reprezentować różne kategorie</w:t>
      </w:r>
      <w:r w:rsidRPr="0019447C">
        <w:rPr>
          <w:rFonts w:ascii="Verdana" w:hAnsi="Verdana"/>
          <w:sz w:val="20"/>
          <w:u w:val="single"/>
          <w:lang w:val="pl-PL"/>
        </w:rPr>
        <w:t xml:space="preserve">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Ostateczny termin składania przez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zgłoszeń krajowych kandydatów do drugiego, końcowego etapu przyznawania Europejskich Nagród Wspierania Przedsiębiorczości upływa </w:t>
      </w:r>
      <w:r w:rsidRPr="0019447C">
        <w:rPr>
          <w:rFonts w:ascii="Verdana" w:hAnsi="Verdana" w:cs="Arial"/>
          <w:sz w:val="20"/>
          <w:lang w:val="pl-PL"/>
        </w:rPr>
        <w:t>16 lipca 2012 roku (decyduje data stempla pocztowego).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Prosimy o wysłanie oryginałów dokumentów pocztą na adres </w:t>
      </w:r>
      <w:r w:rsidRPr="0019447C">
        <w:rPr>
          <w:rFonts w:ascii="Verdana" w:hAnsi="Verdana" w:cs="Arial"/>
          <w:sz w:val="20"/>
          <w:u w:val="single"/>
          <w:lang w:val="pl-PL"/>
        </w:rPr>
        <w:t>European Enterprise Promotion Awards Secretariat:</w:t>
      </w:r>
    </w:p>
    <w:p w:rsidR="00CF7C89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DC09C9" w:rsidRPr="0019447C" w:rsidRDefault="00DC09C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lastRenderedPageBreak/>
        <w:t>European Enterprise Promotion Awards Secretariat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t>c/o Low Associates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t>21 Stocks lane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t>Orwell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t>Cambridgeshire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en-GB"/>
        </w:rPr>
      </w:pPr>
      <w:r w:rsidRPr="0019447C">
        <w:rPr>
          <w:rFonts w:ascii="Verdana" w:hAnsi="Verdana" w:cs="Arial"/>
          <w:b/>
          <w:sz w:val="20"/>
          <w:lang w:val="en-GB"/>
        </w:rPr>
        <w:t>SG8 5QS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pl-PL"/>
        </w:rPr>
      </w:pPr>
      <w:r w:rsidRPr="0019447C">
        <w:rPr>
          <w:rFonts w:ascii="Verdana" w:hAnsi="Verdana" w:cs="Arial"/>
          <w:b/>
          <w:sz w:val="20"/>
          <w:lang w:val="pl-PL"/>
        </w:rPr>
        <w:t>England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lang w:val="pl-PL"/>
        </w:rPr>
      </w:pPr>
    </w:p>
    <w:p w:rsidR="00CF7C89" w:rsidRPr="0019447C" w:rsidRDefault="00CF7C89" w:rsidP="00707674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u w:val="single"/>
          <w:lang w:val="pl-PL"/>
        </w:rPr>
      </w:pPr>
      <w:r w:rsidRPr="0019447C">
        <w:rPr>
          <w:rFonts w:ascii="Verdana" w:hAnsi="Verdana"/>
          <w:sz w:val="20"/>
          <w:lang w:val="pl-PL"/>
        </w:rPr>
        <w:t>Prosimy także o wysłanie formularzy zgłoszeniowych pocztą elektroniczną na adres</w:t>
      </w:r>
      <w:hyperlink r:id="rId7" w:history="1">
        <w:r w:rsidRPr="0019447C">
          <w:rPr>
            <w:rFonts w:ascii="Verdana" w:hAnsi="Verdana" w:cs="Arial"/>
            <w:sz w:val="20"/>
            <w:lang w:val="pl-PL"/>
          </w:rPr>
          <w:t>:</w:t>
        </w:r>
      </w:hyperlink>
      <w:r w:rsidRPr="0019447C">
        <w:rPr>
          <w:rFonts w:ascii="Verdana" w:hAnsi="Verdana" w:cs="Arial"/>
          <w:sz w:val="20"/>
          <w:lang w:val="pl-PL"/>
        </w:rPr>
        <w:t xml:space="preserve"> </w:t>
      </w:r>
      <w:bookmarkStart w:id="39" w:name="_Toc158800422"/>
      <w:bookmarkStart w:id="40" w:name="_Toc158800444"/>
      <w:r w:rsidR="007458F7" w:rsidRPr="0019447C">
        <w:rPr>
          <w:rFonts w:ascii="Verdana" w:hAnsi="Verdana"/>
          <w:lang w:val="pl-PL"/>
        </w:rPr>
        <w:fldChar w:fldCharType="begin"/>
      </w:r>
      <w:r w:rsidRPr="0019447C">
        <w:rPr>
          <w:rFonts w:ascii="Verdana" w:hAnsi="Verdana"/>
          <w:lang w:val="pl-PL"/>
        </w:rPr>
        <w:instrText xml:space="preserve">HYPERLINK "mailto:eu.enterprise.promotion.awards@hanovercomms.com" </w:instrText>
      </w:r>
      <w:r w:rsidR="007458F7" w:rsidRPr="0019447C">
        <w:rPr>
          <w:rFonts w:ascii="Verdana" w:hAnsi="Verdana"/>
          <w:lang w:val="pl-PL"/>
        </w:rPr>
        <w:fldChar w:fldCharType="separate"/>
      </w:r>
      <w:r w:rsidRPr="0019447C">
        <w:rPr>
          <w:rStyle w:val="Hipercze"/>
          <w:rFonts w:ascii="Verdana" w:hAnsi="Verdana" w:cs="Arial"/>
          <w:color w:val="auto"/>
          <w:sz w:val="20"/>
          <w:lang w:val="pl-PL"/>
        </w:rPr>
        <w:t>eu.enterprise.promotion.awards@hanovercomms.com</w:t>
      </w:r>
      <w:r w:rsidR="007458F7" w:rsidRPr="0019447C">
        <w:rPr>
          <w:rFonts w:ascii="Verdana" w:hAnsi="Verdana"/>
          <w:lang w:val="pl-PL"/>
        </w:rPr>
        <w:fldChar w:fldCharType="end"/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rPr>
          <w:rFonts w:ascii="Verdana" w:hAnsi="Verdana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41" w:name="_Toc318106054"/>
      <w:r w:rsidRPr="0019447C">
        <w:rPr>
          <w:rFonts w:ascii="Verdana" w:hAnsi="Verdana"/>
          <w:color w:val="auto"/>
          <w:lang w:val="pl-PL"/>
        </w:rPr>
        <w:t>2.3.2. Na szczeblu europejskim</w:t>
      </w:r>
      <w:bookmarkEnd w:id="39"/>
      <w:bookmarkEnd w:id="40"/>
      <w:bookmarkEnd w:id="41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Gdy tylko </w:t>
      </w:r>
      <w:r>
        <w:rPr>
          <w:rFonts w:ascii="Verdana" w:hAnsi="Verdana"/>
          <w:sz w:val="20"/>
          <w:lang w:val="pl-PL"/>
        </w:rPr>
        <w:t>KPK</w:t>
      </w:r>
      <w:r w:rsidRPr="0019447C">
        <w:rPr>
          <w:rFonts w:ascii="Verdana" w:hAnsi="Verdana"/>
          <w:sz w:val="20"/>
          <w:lang w:val="pl-PL"/>
        </w:rPr>
        <w:t xml:space="preserve"> wybiorą kandydata lub maksymalnie dwóch kandydatów, przekazują Komisji formularze zgłoszeń</w:t>
      </w:r>
      <w:r w:rsidRPr="0019447C">
        <w:rPr>
          <w:rStyle w:val="StyleFootnoteReferenceArial10pt"/>
          <w:rFonts w:ascii="Verdana" w:hAnsi="Verdana"/>
          <w:color w:val="auto"/>
          <w:sz w:val="20"/>
          <w:lang w:val="pl-PL"/>
        </w:rPr>
        <w:footnoteReference w:id="2"/>
      </w:r>
      <w:r w:rsidRPr="0019447C">
        <w:rPr>
          <w:rFonts w:ascii="Verdana" w:hAnsi="Verdana" w:cs="Arial"/>
          <w:position w:val="8"/>
          <w:sz w:val="20"/>
          <w:vertAlign w:val="superscript"/>
          <w:lang w:val="pl-PL"/>
        </w:rPr>
        <w:t xml:space="preserve"> </w:t>
      </w:r>
      <w:r w:rsidRPr="0019447C">
        <w:rPr>
          <w:rFonts w:ascii="Verdana" w:hAnsi="Verdana"/>
          <w:sz w:val="20"/>
          <w:lang w:val="pl-PL"/>
        </w:rPr>
        <w:t xml:space="preserve">(liczące nie więcej niż 10 stron). Do drugiej tury eliminacji powinno przejść nie więcej niż </w:t>
      </w:r>
      <w:r w:rsidRPr="0019447C">
        <w:rPr>
          <w:rFonts w:ascii="Verdana" w:hAnsi="Verdana" w:cs="Arial"/>
          <w:sz w:val="20"/>
          <w:u w:val="single"/>
          <w:lang w:val="pl-PL"/>
        </w:rPr>
        <w:t>60 uczestników</w:t>
      </w:r>
      <w:r w:rsidRPr="0019447C">
        <w:rPr>
          <w:rFonts w:ascii="Verdana" w:hAnsi="Verdana" w:cs="Arial"/>
          <w:sz w:val="20"/>
          <w:lang w:val="pl-PL"/>
        </w:rPr>
        <w:t xml:space="preserve">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Jury zasiądzie </w:t>
      </w:r>
      <w:r w:rsidRPr="0019447C">
        <w:rPr>
          <w:rFonts w:ascii="Verdana" w:hAnsi="Verdana" w:cs="Arial"/>
          <w:sz w:val="20"/>
          <w:u w:val="single"/>
          <w:lang w:val="pl-PL"/>
        </w:rPr>
        <w:t>siedmiu jurorów</w:t>
      </w:r>
      <w:r w:rsidRPr="0019447C">
        <w:rPr>
          <w:rFonts w:ascii="Verdana" w:hAnsi="Verdana"/>
          <w:sz w:val="20"/>
          <w:lang w:val="pl-PL"/>
        </w:rPr>
        <w:t xml:space="preserve"> nominowanych przez Komisję Europejską.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Jury znajdą się przedstawiciele kręgów naukowych, zrzeszeń pracodawców, reprezentant kręgów biznesu z kraju przewodniczącego </w:t>
      </w:r>
      <w:r w:rsidRPr="0019447C">
        <w:rPr>
          <w:rFonts w:ascii="Verdana" w:hAnsi="Verdana" w:cs="Arial"/>
          <w:sz w:val="20"/>
          <w:lang w:val="pl-PL"/>
        </w:rPr>
        <w:t>wiosennemu posiedzeniu Rady Europejskiej</w:t>
      </w:r>
      <w:r w:rsidRPr="0019447C">
        <w:rPr>
          <w:rFonts w:ascii="Verdana" w:hAnsi="Verdana"/>
          <w:sz w:val="20"/>
          <w:lang w:val="pl-PL"/>
        </w:rPr>
        <w:t xml:space="preserve"> oraz wysoki rangą przedstawiciel administracji </w:t>
      </w:r>
      <w:r w:rsidRPr="0019447C">
        <w:rPr>
          <w:rFonts w:ascii="Verdana" w:hAnsi="Verdana" w:cs="Arial"/>
          <w:sz w:val="20"/>
          <w:lang w:val="pl-PL"/>
        </w:rPr>
        <w:t>jesiennej prezydencji Rady</w:t>
      </w:r>
      <w:r w:rsidRPr="0019447C">
        <w:rPr>
          <w:rFonts w:ascii="Verdana" w:hAnsi="Verdana"/>
          <w:sz w:val="20"/>
          <w:lang w:val="pl-PL"/>
        </w:rPr>
        <w:t xml:space="preserve"> danego roku.  Po jednym stałym przedstawicielu w Jury mają DG ds. Przedsiębiorstw i Pr</w:t>
      </w:r>
      <w:r>
        <w:rPr>
          <w:rFonts w:ascii="Verdana" w:hAnsi="Verdana"/>
          <w:sz w:val="20"/>
          <w:lang w:val="pl-PL"/>
        </w:rPr>
        <w:t xml:space="preserve">zemysłu oraz Komitet Regionów. </w:t>
      </w:r>
      <w:r w:rsidRPr="0019447C">
        <w:rPr>
          <w:rFonts w:ascii="Verdana" w:hAnsi="Verdana"/>
          <w:sz w:val="20"/>
          <w:lang w:val="pl-PL"/>
        </w:rPr>
        <w:t xml:space="preserve">Życzeniem Komisji byłoby zaproszenie zdobywcy nagrody głównej Jury do uczestnictwa w obradach Jury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w następnej edycji konkursu.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Jury obecnej, szóstej edycji Europejskiej Nagrody Przedsiębiorczości zasiadają: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numPr>
          <w:ilvl w:val="0"/>
          <w:numId w:val="24"/>
        </w:numPr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Przedstawiciel - Komitet Regionów </w:t>
      </w:r>
    </w:p>
    <w:p w:rsidR="00CF7C89" w:rsidRPr="0019447C" w:rsidRDefault="00CF7C89" w:rsidP="0019447C">
      <w:pPr>
        <w:numPr>
          <w:ilvl w:val="0"/>
          <w:numId w:val="24"/>
        </w:numPr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Przedstawiciel - Zwycięzca nagrody głównej poprzedniej edycji konkursu </w:t>
      </w:r>
    </w:p>
    <w:p w:rsidR="00CF7C89" w:rsidRPr="0019447C" w:rsidRDefault="00CF7C89" w:rsidP="0019447C">
      <w:pPr>
        <w:numPr>
          <w:ilvl w:val="0"/>
          <w:numId w:val="24"/>
        </w:numPr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Przedstawiciel - duńska wiosenna prezydencja UE w 2012 roku </w:t>
      </w:r>
    </w:p>
    <w:p w:rsidR="00CF7C89" w:rsidRPr="0019447C" w:rsidRDefault="00CF7C89" w:rsidP="0019447C">
      <w:pPr>
        <w:numPr>
          <w:ilvl w:val="0"/>
          <w:numId w:val="24"/>
        </w:numPr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>Przedstawiciel - cypryjska jesienna prezydencja UE w 2012 roku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firstLine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Prowadzona jest </w:t>
      </w:r>
      <w:r w:rsidRPr="0019447C">
        <w:rPr>
          <w:rFonts w:ascii="Verdana" w:hAnsi="Verdana" w:cs="Arial"/>
          <w:sz w:val="20"/>
          <w:u w:val="single"/>
          <w:lang w:val="pl-PL"/>
        </w:rPr>
        <w:t>baza danych</w:t>
      </w:r>
      <w:r w:rsidRPr="0019447C">
        <w:rPr>
          <w:rFonts w:ascii="Verdana" w:hAnsi="Verdana"/>
          <w:sz w:val="20"/>
          <w:lang w:val="pl-PL"/>
        </w:rPr>
        <w:t xml:space="preserve"> uczestników, a członkom Jury udostępnia się wszystkie zgłoszenia (zarówno w druku, jak i w formie elektronicznej). Na żądanie istnieje możliwość uzy</w:t>
      </w:r>
      <w:r>
        <w:rPr>
          <w:rFonts w:ascii="Verdana" w:hAnsi="Verdana"/>
          <w:sz w:val="20"/>
          <w:lang w:val="pl-PL"/>
        </w:rPr>
        <w:t xml:space="preserve">skania dodatkowych informacji.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Obrady Jury z omówieniem poszczególnych uczestników odbędą się w Brukseli. Jurorzy wybierają spośród siebie </w:t>
      </w:r>
      <w:r w:rsidRPr="0019447C">
        <w:rPr>
          <w:rFonts w:ascii="Verdana" w:hAnsi="Verdana"/>
          <w:sz w:val="20"/>
          <w:u w:val="single"/>
          <w:lang w:val="pl-PL"/>
        </w:rPr>
        <w:t>osobę przewodniczącą</w:t>
      </w:r>
      <w:r w:rsidRPr="0019447C">
        <w:rPr>
          <w:rFonts w:ascii="Verdana" w:hAnsi="Verdana"/>
          <w:sz w:val="20"/>
          <w:lang w:val="pl-PL"/>
        </w:rPr>
        <w:t xml:space="preserve"> z głosem rozstrzygającym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>w razie równej liczby głosów; rolę sekretarza obrad spełni osoba zatrudniona w tym celu p</w:t>
      </w:r>
      <w:r>
        <w:rPr>
          <w:rFonts w:ascii="Verdana" w:hAnsi="Verdana"/>
          <w:sz w:val="20"/>
          <w:lang w:val="pl-PL"/>
        </w:rPr>
        <w:t xml:space="preserve">rzez agencję na umowę czasową.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toku obrad wyłonieni zostaną </w:t>
      </w:r>
      <w:r w:rsidRPr="0019447C">
        <w:rPr>
          <w:rFonts w:ascii="Verdana" w:hAnsi="Verdana"/>
          <w:sz w:val="20"/>
          <w:u w:val="single"/>
          <w:lang w:val="pl-PL"/>
        </w:rPr>
        <w:t>zwycięzcy poszczegó</w:t>
      </w:r>
      <w:r w:rsidRPr="0019447C">
        <w:rPr>
          <w:rFonts w:ascii="Verdana" w:hAnsi="Verdana" w:cs="Arial"/>
          <w:sz w:val="20"/>
          <w:u w:val="single"/>
          <w:lang w:val="pl-PL"/>
        </w:rPr>
        <w:t>lnych kategorii</w:t>
      </w:r>
      <w:r w:rsidRPr="0019447C">
        <w:rPr>
          <w:rFonts w:ascii="Verdana" w:hAnsi="Verdana"/>
          <w:sz w:val="20"/>
          <w:lang w:val="pl-PL"/>
        </w:rPr>
        <w:t xml:space="preserve">, a także laureat </w:t>
      </w:r>
      <w:r w:rsidRPr="0019447C">
        <w:rPr>
          <w:rFonts w:ascii="Verdana" w:hAnsi="Verdana"/>
          <w:sz w:val="20"/>
          <w:u w:val="single"/>
          <w:lang w:val="pl-PL"/>
        </w:rPr>
        <w:t>nagrody głównej</w:t>
      </w:r>
      <w:r>
        <w:rPr>
          <w:rFonts w:ascii="Verdana" w:hAnsi="Verdana"/>
          <w:sz w:val="20"/>
          <w:lang w:val="pl-PL"/>
        </w:rPr>
        <w:t xml:space="preserve">. </w:t>
      </w:r>
      <w:r w:rsidRPr="0019447C">
        <w:rPr>
          <w:rFonts w:ascii="Verdana" w:hAnsi="Verdana"/>
          <w:sz w:val="20"/>
          <w:lang w:val="pl-PL"/>
        </w:rPr>
        <w:t xml:space="preserve">Wybór Jury musi uwzględniać reguły </w:t>
      </w:r>
      <w:r w:rsidRPr="0019447C">
        <w:rPr>
          <w:rFonts w:ascii="Verdana" w:hAnsi="Verdana"/>
          <w:sz w:val="20"/>
          <w:u w:val="single"/>
          <w:lang w:val="pl-PL"/>
        </w:rPr>
        <w:t xml:space="preserve">kwalifikowania do udziału </w:t>
      </w:r>
      <w:r>
        <w:rPr>
          <w:rFonts w:ascii="Verdana" w:hAnsi="Verdana"/>
          <w:sz w:val="20"/>
          <w:u w:val="single"/>
          <w:lang w:val="pl-PL"/>
        </w:rPr>
        <w:br/>
      </w:r>
      <w:r w:rsidRPr="0019447C">
        <w:rPr>
          <w:rFonts w:ascii="Verdana" w:hAnsi="Verdana"/>
          <w:sz w:val="20"/>
          <w:u w:val="single"/>
          <w:lang w:val="pl-PL"/>
        </w:rPr>
        <w:t>w konkursie i kryteria nagród</w:t>
      </w:r>
      <w:r w:rsidRPr="0019447C">
        <w:rPr>
          <w:rFonts w:ascii="Verdana" w:hAnsi="Verdana"/>
          <w:sz w:val="20"/>
          <w:lang w:val="pl-PL"/>
        </w:rPr>
        <w:t xml:space="preserve">, wyszczególnione poniżej.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Jurorzy mogą przenieść zgłoszoną kandydaturę do innej kategorii, o ile uznają to za stosowne; mogą również </w:t>
      </w:r>
      <w:r w:rsidRPr="0019447C">
        <w:rPr>
          <w:rFonts w:ascii="Verdana" w:hAnsi="Verdana"/>
          <w:sz w:val="20"/>
          <w:u w:val="single"/>
          <w:lang w:val="pl-PL"/>
        </w:rPr>
        <w:t>odstąpić od przyznania nagrody</w:t>
      </w:r>
      <w:r w:rsidRPr="0019447C">
        <w:rPr>
          <w:rFonts w:ascii="Verdana" w:hAnsi="Verdana"/>
          <w:sz w:val="20"/>
          <w:lang w:val="pl-PL"/>
        </w:rPr>
        <w:t xml:space="preserve"> w przypadku</w:t>
      </w:r>
      <w:r>
        <w:rPr>
          <w:rFonts w:ascii="Verdana" w:hAnsi="Verdana"/>
          <w:sz w:val="20"/>
          <w:lang w:val="pl-PL"/>
        </w:rPr>
        <w:t xml:space="preserve">, gdyby uznali jakość zgłoszeń za niedostateczną.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Jury dostarczy wyniki swoich obrad Komisji Europejskiej, która z kolei </w:t>
      </w:r>
      <w:r w:rsidRPr="0019447C">
        <w:rPr>
          <w:rFonts w:ascii="Verdana" w:hAnsi="Verdana"/>
          <w:sz w:val="20"/>
          <w:lang w:val="pl-PL"/>
        </w:rPr>
        <w:t xml:space="preserve">przyzna nagrody w poszczególnych kategoriach wraz z nagrodą główną. </w:t>
      </w:r>
      <w:r w:rsidRPr="0019447C">
        <w:rPr>
          <w:rFonts w:ascii="Verdana" w:hAnsi="Verdana"/>
          <w:sz w:val="20"/>
          <w:u w:val="single"/>
          <w:lang w:val="pl-PL"/>
        </w:rPr>
        <w:t>Decyzja Jury jest wiążąca</w:t>
      </w:r>
      <w:r w:rsidRPr="0019447C">
        <w:rPr>
          <w:rFonts w:ascii="Verdana" w:hAnsi="Verdana" w:cs="Arial"/>
          <w:sz w:val="20"/>
          <w:lang w:val="pl-PL"/>
        </w:rPr>
        <w:t>.</w:t>
      </w:r>
      <w:r w:rsidRPr="0019447C">
        <w:rPr>
          <w:rFonts w:ascii="Verdana" w:hAnsi="Verdana" w:cs="Arial"/>
          <w:sz w:val="20"/>
          <w:u w:val="single"/>
          <w:lang w:val="pl-PL"/>
        </w:rPr>
        <w:t xml:space="preserve">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Wszyscy nominowani do nagród zostaną zaproszeni do udziału w ceremonii finałowej, na której ogłoszony zostanie werdykt i </w:t>
      </w:r>
      <w:r w:rsidRPr="0019447C">
        <w:rPr>
          <w:rFonts w:ascii="Verdana" w:hAnsi="Verdana"/>
          <w:sz w:val="20"/>
          <w:u w:val="single"/>
          <w:lang w:val="pl-PL"/>
        </w:rPr>
        <w:t>wręczona nagroda główna</w:t>
      </w:r>
      <w:r w:rsidRPr="0019447C">
        <w:rPr>
          <w:rFonts w:ascii="Verdana" w:hAnsi="Verdana" w:cs="Arial"/>
          <w:sz w:val="20"/>
          <w:lang w:val="pl-PL"/>
        </w:rPr>
        <w:t xml:space="preserve">. </w:t>
      </w: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42" w:name="_Toc158800211"/>
      <w:bookmarkStart w:id="43" w:name="_Toc158800423"/>
      <w:bookmarkStart w:id="44" w:name="_Toc158800445"/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45" w:name="_Toc318106055"/>
      <w:r w:rsidRPr="0019447C">
        <w:rPr>
          <w:rFonts w:ascii="Verdana" w:hAnsi="Verdana"/>
          <w:color w:val="auto"/>
          <w:lang w:val="pl-PL"/>
        </w:rPr>
        <w:t>2.4. Kryteria kwalifikowalności</w:t>
      </w:r>
      <w:bookmarkEnd w:id="42"/>
      <w:bookmarkEnd w:id="43"/>
      <w:bookmarkEnd w:id="44"/>
      <w:bookmarkEnd w:id="45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231233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konkursie mogą brać udział </w:t>
      </w:r>
      <w:r w:rsidRPr="0019447C">
        <w:rPr>
          <w:rFonts w:ascii="Verdana" w:hAnsi="Verdana" w:cs="Arial"/>
          <w:sz w:val="20"/>
          <w:u w:val="single"/>
          <w:lang w:val="pl-PL"/>
        </w:rPr>
        <w:t>wszystkie organy lokalne i regionalne oraz organy krajowe</w:t>
      </w:r>
      <w:r w:rsidRPr="0019447C">
        <w:rPr>
          <w:rFonts w:ascii="Verdana" w:hAnsi="Verdana" w:cs="Arial"/>
          <w:sz w:val="20"/>
          <w:lang w:val="pl-PL"/>
        </w:rPr>
        <w:t xml:space="preserve"> w przypadku pierwszej i czwartej kategorii (</w:t>
      </w:r>
      <w:r w:rsidRPr="0019447C">
        <w:rPr>
          <w:rFonts w:ascii="Verdana" w:hAnsi="Verdana" w:cs="MyriadPro-BoldCond"/>
          <w:b/>
          <w:bCs/>
          <w:sz w:val="20"/>
          <w:lang w:val="pl-PL"/>
        </w:rPr>
        <w:t>Promowanie ducha przedsiębiorczości i Wspieranie internacjonalizacji biznesu</w:t>
      </w:r>
      <w:r w:rsidRPr="0019447C">
        <w:rPr>
          <w:rFonts w:ascii="Verdana" w:hAnsi="Verdana" w:cs="MyriadPro-BoldCond"/>
          <w:bCs/>
          <w:sz w:val="20"/>
          <w:lang w:val="pl-PL"/>
        </w:rPr>
        <w:t xml:space="preserve">) </w:t>
      </w:r>
      <w:r w:rsidRPr="0019447C">
        <w:rPr>
          <w:rFonts w:ascii="Verdana" w:hAnsi="Verdana" w:cs="Arial"/>
          <w:sz w:val="20"/>
          <w:lang w:val="pl-PL"/>
        </w:rPr>
        <w:t xml:space="preserve">w krajach UE, Chorwacji, Islandii, </w:t>
      </w:r>
      <w:r w:rsidRPr="0019447C">
        <w:rPr>
          <w:rFonts w:ascii="Verdana" w:hAnsi="Verdana"/>
          <w:sz w:val="20"/>
          <w:lang w:val="pl-PL"/>
        </w:rPr>
        <w:t xml:space="preserve">Norwegii, Serbii i Turcji. </w:t>
      </w:r>
      <w:r w:rsidRPr="00231233">
        <w:rPr>
          <w:rFonts w:ascii="Verdana" w:hAnsi="Verdana"/>
          <w:sz w:val="20"/>
          <w:lang w:val="pl-PL"/>
        </w:rPr>
        <w:t xml:space="preserve">". Konkurs adresowany jest do władz lokalnych, regionalnych i krajowych, do miast, regionów, wspólnot, organizacji biznesowych, instytucji realizujących programy edukacyjne, jak również do jednostek samorządu terytorialnego, które wspólnie z przedsiębiorcami realizują projekty </w:t>
      </w:r>
      <w:r>
        <w:rPr>
          <w:rFonts w:ascii="Verdana" w:hAnsi="Verdana"/>
          <w:sz w:val="20"/>
          <w:lang w:val="pl-PL"/>
        </w:rPr>
        <w:br/>
      </w:r>
      <w:r w:rsidRPr="00231233">
        <w:rPr>
          <w:rFonts w:ascii="Verdana" w:hAnsi="Verdana"/>
          <w:sz w:val="20"/>
          <w:lang w:val="pl-PL"/>
        </w:rPr>
        <w:t>w formule partnerstwa publiczno-prywatnego.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Dopuszczalne są również wspólne nominacje (reprezentujące więcej niż jeden kraj) oraz inicjatywy międzynarodowe – o ile poparte zostaną przez wszystkie zainteresowane kraje.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Celem konkursu jest nagrodzenie takich form polityki, które propagują przedsiębiorczość na poziomie lokalnym i regionalnym, a w przypadku pierwszych dwóch kategorii – również na poziomie krajowym. Tak więc o nagrody te ubiegać się mogą wszelkie władze publiczne odpowiedzialne za kształtowanie polityki.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b/>
          <w:bCs/>
          <w:sz w:val="20"/>
          <w:lang w:val="pl-PL"/>
        </w:rPr>
        <w:t>Władze publiczne</w:t>
      </w:r>
      <w:r w:rsidRPr="0019447C">
        <w:rPr>
          <w:rFonts w:ascii="Verdana" w:hAnsi="Verdana"/>
          <w:sz w:val="20"/>
          <w:lang w:val="pl-PL"/>
        </w:rPr>
        <w:t xml:space="preserve"> definiuje się w zależności od warunków, jakie panują w danym kraju; mogą do nich należeć instytucje wyznaczające cele polityki, odpowiedzialne za jej finansow</w:t>
      </w:r>
      <w:r>
        <w:rPr>
          <w:rFonts w:ascii="Verdana" w:hAnsi="Verdana"/>
          <w:sz w:val="20"/>
          <w:lang w:val="pl-PL"/>
        </w:rPr>
        <w:t xml:space="preserve">anie lub wprowadzanie w życie.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Nagrody mogą być również przyznawane partnerstwom publiczno-prywatnym (PPP), zdefiniowanym jako „formy współpracy między organami publicznymi a sektorem prywatnym mające na celu sfinansowanie, zbudowanie, zreformowanie lub utrzymywanie infrastruktury, zarządzanie nią lub też świadczenie usług”</w:t>
      </w:r>
      <w:r w:rsidRPr="0019447C">
        <w:rPr>
          <w:rStyle w:val="StyleFootnoteReferenceArial10pt"/>
          <w:rFonts w:ascii="Verdana" w:hAnsi="Verdana"/>
          <w:color w:val="auto"/>
          <w:sz w:val="20"/>
          <w:lang w:val="pl-PL"/>
        </w:rPr>
        <w:footnoteReference w:id="3"/>
      </w:r>
      <w:r w:rsidRPr="0019447C">
        <w:rPr>
          <w:rFonts w:ascii="Verdana" w:hAnsi="Verdana" w:cs="Arial"/>
          <w:sz w:val="20"/>
          <w:lang w:val="pl-PL"/>
        </w:rPr>
        <w:t>.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lang w:val="pl-PL"/>
        </w:rPr>
        <w:t xml:space="preserve">Do </w:t>
      </w:r>
      <w:r w:rsidRPr="0019447C">
        <w:rPr>
          <w:rFonts w:ascii="Verdana" w:hAnsi="Verdana" w:cs="Arial"/>
          <w:b/>
          <w:bCs/>
          <w:sz w:val="20"/>
          <w:lang w:val="pl-PL"/>
        </w:rPr>
        <w:t>PPP</w:t>
      </w:r>
      <w:r w:rsidRPr="0019447C">
        <w:rPr>
          <w:rFonts w:ascii="Verdana" w:hAnsi="Verdana"/>
          <w:sz w:val="20"/>
          <w:lang w:val="pl-PL"/>
        </w:rPr>
        <w:t xml:space="preserve"> zal</w:t>
      </w:r>
      <w:r>
        <w:rPr>
          <w:rFonts w:ascii="Verdana" w:hAnsi="Verdana"/>
          <w:sz w:val="20"/>
          <w:lang w:val="pl-PL"/>
        </w:rPr>
        <w:t xml:space="preserve">icza się następujące formacje: </w:t>
      </w:r>
    </w:p>
    <w:p w:rsidR="00CF7C89" w:rsidRPr="0019447C" w:rsidRDefault="00CF7C89" w:rsidP="00707674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umowa o charakterze finansowym, w myśl której strona prywatna zobowiązuje się do wykonania działań realizujących politykę określoną przez stronę publiczną;</w:t>
      </w:r>
    </w:p>
    <w:p w:rsidR="00CF7C89" w:rsidRPr="0019447C" w:rsidRDefault="00CF7C89" w:rsidP="00707674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umowa wiążąca stronę prywatną i organ publiczny, angażująca stronę prywatną (dysponującą wiedzą fachową, specjalistycznymi umiejętnościami lub zasobami) w proces kształtowania polityki;</w:t>
      </w:r>
    </w:p>
    <w:p w:rsidR="00CF7C89" w:rsidRPr="0019447C" w:rsidRDefault="00CF7C89" w:rsidP="00707674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>zin</w:t>
      </w:r>
      <w:r w:rsidRPr="0019447C">
        <w:rPr>
          <w:rFonts w:ascii="Verdana" w:hAnsi="Verdana"/>
          <w:sz w:val="20"/>
          <w:lang w:val="pl-PL"/>
        </w:rPr>
        <w:t>stytucjonalizowane wsparcie – niekoniecznie o charakterze finansowym – jakiego władze publiczne udzielają uczestnikom reprezentującym sektor prywatny w ramach określonego projektu. W kontekście konkursu pomoc taka musi mieć chara</w:t>
      </w:r>
      <w:r w:rsidRPr="0019447C">
        <w:rPr>
          <w:rFonts w:ascii="Verdana" w:hAnsi="Verdana" w:cs="Arial"/>
          <w:sz w:val="20"/>
          <w:lang w:val="pl-PL"/>
        </w:rPr>
        <w:t xml:space="preserve">kter sformalizowany.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360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Każdy kr</w:t>
      </w:r>
      <w:r>
        <w:rPr>
          <w:rFonts w:ascii="Verdana" w:hAnsi="Verdana"/>
          <w:sz w:val="20"/>
          <w:lang w:val="pl-PL"/>
        </w:rPr>
        <w:t>aj może nominować maksymalnie</w:t>
      </w:r>
      <w:r w:rsidRPr="0019447C">
        <w:rPr>
          <w:rFonts w:ascii="Verdana" w:hAnsi="Verdana"/>
          <w:sz w:val="20"/>
          <w:lang w:val="pl-PL"/>
        </w:rPr>
        <w:t xml:space="preserve"> dwóch kandydatów </w:t>
      </w:r>
      <w:r>
        <w:rPr>
          <w:rFonts w:ascii="Verdana" w:hAnsi="Verdana"/>
          <w:sz w:val="20"/>
          <w:lang w:val="pl-PL"/>
        </w:rPr>
        <w:t xml:space="preserve">– w dwóch różnych kategoriach. </w:t>
      </w:r>
      <w:r w:rsidRPr="0019447C">
        <w:rPr>
          <w:rFonts w:ascii="Verdana" w:hAnsi="Verdana"/>
          <w:sz w:val="20"/>
          <w:lang w:val="pl-PL"/>
        </w:rPr>
        <w:t xml:space="preserve">Inicjatywy międzynarodowe liczą się jako zgłoszenie pochodzące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z każdego z uczestniczących państw.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Zgłoszenia </w:t>
      </w:r>
      <w:r w:rsidRPr="0019447C">
        <w:rPr>
          <w:rFonts w:ascii="Verdana" w:hAnsi="Verdana"/>
          <w:sz w:val="20"/>
          <w:u w:val="single"/>
          <w:lang w:val="pl-PL"/>
        </w:rPr>
        <w:t xml:space="preserve">muszą podkreślać swój związek z inicjatywami na szczeblu politycznym, </w:t>
      </w:r>
      <w:r>
        <w:rPr>
          <w:rFonts w:ascii="Verdana" w:hAnsi="Verdana"/>
          <w:sz w:val="20"/>
          <w:u w:val="single"/>
          <w:lang w:val="pl-PL"/>
        </w:rPr>
        <w:br/>
      </w:r>
      <w:r w:rsidRPr="0019447C">
        <w:rPr>
          <w:rFonts w:ascii="Verdana" w:hAnsi="Verdana"/>
          <w:sz w:val="20"/>
          <w:u w:val="single"/>
          <w:lang w:val="pl-PL"/>
        </w:rPr>
        <w:t xml:space="preserve">w dziedzinie przedsiębiorczości lub edukacji, a także wpływ, jaki wywarły na dany region lub miejscowość, </w:t>
      </w:r>
      <w:r w:rsidRPr="0019447C">
        <w:rPr>
          <w:rFonts w:ascii="Verdana" w:hAnsi="Verdana"/>
          <w:sz w:val="20"/>
          <w:lang w:val="pl-PL"/>
        </w:rPr>
        <w:t xml:space="preserve">wykazując </w:t>
      </w:r>
      <w:r w:rsidRPr="0019447C">
        <w:rPr>
          <w:rFonts w:ascii="Verdana" w:hAnsi="Verdana"/>
          <w:sz w:val="20"/>
          <w:u w:val="single"/>
          <w:lang w:val="pl-PL"/>
        </w:rPr>
        <w:t>nasilające się zmiany</w:t>
      </w:r>
      <w:r w:rsidRPr="0019447C">
        <w:rPr>
          <w:rFonts w:ascii="Verdana" w:hAnsi="Verdana"/>
          <w:sz w:val="20"/>
          <w:lang w:val="pl-PL"/>
        </w:rPr>
        <w:t xml:space="preserve"> zachodzące w ciągu </w:t>
      </w:r>
      <w:r w:rsidRPr="0019447C">
        <w:rPr>
          <w:rFonts w:ascii="Verdana" w:hAnsi="Verdana" w:cs="Arial"/>
          <w:sz w:val="20"/>
          <w:u w:val="single"/>
          <w:lang w:val="pl-PL"/>
        </w:rPr>
        <w:t>ostatnich dwóch lat</w:t>
      </w:r>
      <w:r w:rsidRPr="0019447C">
        <w:rPr>
          <w:rFonts w:ascii="Verdana" w:hAnsi="Verdana" w:cs="Arial"/>
          <w:sz w:val="20"/>
          <w:lang w:val="pl-PL"/>
        </w:rPr>
        <w:t xml:space="preserve">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>Do kon</w:t>
      </w:r>
      <w:r w:rsidRPr="0019447C">
        <w:rPr>
          <w:rFonts w:ascii="Verdana" w:hAnsi="Verdana"/>
          <w:sz w:val="20"/>
          <w:lang w:val="pl-PL"/>
        </w:rPr>
        <w:t xml:space="preserve">kursu europejskiego docierają wyłącznie zgłoszenia </w:t>
      </w:r>
      <w:r w:rsidRPr="0019447C">
        <w:rPr>
          <w:rFonts w:ascii="Verdana" w:hAnsi="Verdana" w:cs="Arial"/>
          <w:sz w:val="20"/>
          <w:u w:val="single"/>
          <w:lang w:val="pl-PL"/>
        </w:rPr>
        <w:t xml:space="preserve">poparte przez krajowe </w:t>
      </w:r>
      <w:r>
        <w:rPr>
          <w:rFonts w:ascii="Verdana" w:hAnsi="Verdana" w:cs="Arial"/>
          <w:sz w:val="20"/>
          <w:u w:val="single"/>
          <w:lang w:val="pl-PL"/>
        </w:rPr>
        <w:t>KPK</w:t>
      </w:r>
      <w:r w:rsidRPr="0019447C">
        <w:rPr>
          <w:rFonts w:ascii="Verdana" w:hAnsi="Verdana" w:cs="Arial"/>
          <w:sz w:val="20"/>
          <w:lang w:val="pl-PL"/>
        </w:rPr>
        <w:t xml:space="preserve">.  </w:t>
      </w:r>
    </w:p>
    <w:p w:rsidR="00DC09C9" w:rsidRDefault="00DC09C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</w:p>
    <w:p w:rsidR="00DC09C9" w:rsidRDefault="00DC09C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lastRenderedPageBreak/>
        <w:t xml:space="preserve">Zgłoszenia przyjmuje się we </w:t>
      </w:r>
      <w:r w:rsidRPr="0019447C">
        <w:rPr>
          <w:rFonts w:ascii="Verdana" w:hAnsi="Verdana"/>
          <w:sz w:val="20"/>
          <w:u w:val="single"/>
          <w:lang w:val="pl-PL"/>
        </w:rPr>
        <w:t xml:space="preserve">wszystkich językach urzędowych Unii </w:t>
      </w:r>
      <w:r w:rsidRPr="0019447C">
        <w:rPr>
          <w:rFonts w:ascii="Verdana" w:hAnsi="Verdana" w:cs="Arial"/>
          <w:sz w:val="20"/>
          <w:u w:val="single"/>
          <w:lang w:val="pl-PL"/>
        </w:rPr>
        <w:t>do 16 lipca 2012 r.</w:t>
      </w:r>
      <w:r w:rsidRPr="0019447C">
        <w:rPr>
          <w:rFonts w:ascii="Verdana" w:hAnsi="Verdana" w:cs="Arial"/>
          <w:sz w:val="20"/>
          <w:lang w:val="pl-PL"/>
        </w:rPr>
        <w:t xml:space="preserve"> </w:t>
      </w:r>
      <w:r w:rsidRPr="0019447C">
        <w:rPr>
          <w:rFonts w:ascii="Verdana" w:hAnsi="Verdana"/>
          <w:sz w:val="20"/>
          <w:u w:val="single"/>
          <w:lang w:val="pl-PL"/>
        </w:rPr>
        <w:t>Konieczne elementy zgłoszenia</w:t>
      </w:r>
      <w:r w:rsidRPr="0019447C">
        <w:rPr>
          <w:rFonts w:ascii="Verdana" w:hAnsi="Verdana" w:cs="Arial"/>
          <w:sz w:val="20"/>
          <w:lang w:val="pl-PL"/>
        </w:rPr>
        <w:t xml:space="preserve">: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1. </w:t>
      </w:r>
      <w:r>
        <w:rPr>
          <w:rFonts w:ascii="Verdana" w:hAnsi="Verdana" w:cs="Arial"/>
          <w:sz w:val="20"/>
          <w:lang w:val="pl-PL"/>
        </w:rPr>
        <w:t xml:space="preserve"> </w:t>
      </w:r>
      <w:r w:rsidRPr="0019447C">
        <w:rPr>
          <w:rFonts w:ascii="Verdana" w:hAnsi="Verdana" w:cs="Arial"/>
          <w:sz w:val="20"/>
          <w:lang w:val="pl-PL"/>
        </w:rPr>
        <w:t>Wybrana kategoria nagrody;</w:t>
      </w:r>
    </w:p>
    <w:p w:rsidR="00CF7C89" w:rsidRPr="0019447C" w:rsidRDefault="00CF7C89" w:rsidP="00707674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Szczegółowy opis projektu zawierający analizę na przykładach, zaobserwowane trudności i twórcze sposoby na ich rozwiązanie, strategie działalności, wdrożenia, charakterystyka efektów i plan przyszłego wprowadzenia w życie;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3. List z rekomendacją i poparciem podpisany przez szanowaną w regionie osobistość ze świata polityki, biznesu lub nauk</w:t>
      </w:r>
      <w:r w:rsidRPr="0019447C">
        <w:rPr>
          <w:rFonts w:ascii="Verdana" w:hAnsi="Verdana" w:cs="Arial"/>
          <w:sz w:val="20"/>
          <w:lang w:val="pl-PL"/>
        </w:rPr>
        <w:t xml:space="preserve">i;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4. </w:t>
      </w:r>
      <w:r>
        <w:rPr>
          <w:rFonts w:ascii="Verdana" w:hAnsi="Verdana" w:cs="Arial"/>
          <w:sz w:val="20"/>
          <w:lang w:val="pl-PL"/>
        </w:rPr>
        <w:t xml:space="preserve"> </w:t>
      </w:r>
      <w:r w:rsidRPr="0019447C">
        <w:rPr>
          <w:rFonts w:ascii="Verdana" w:hAnsi="Verdana" w:cs="Arial"/>
          <w:sz w:val="20"/>
          <w:lang w:val="pl-PL"/>
        </w:rPr>
        <w:t xml:space="preserve">Dane kontaktowe;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 w:cs="Arial"/>
          <w:sz w:val="20"/>
          <w:lang w:val="pl-PL"/>
        </w:rPr>
        <w:t xml:space="preserve">5. </w:t>
      </w:r>
      <w:r>
        <w:rPr>
          <w:rFonts w:ascii="Verdana" w:hAnsi="Verdana" w:cs="Arial"/>
          <w:sz w:val="20"/>
          <w:lang w:val="pl-PL"/>
        </w:rPr>
        <w:t xml:space="preserve"> </w:t>
      </w:r>
      <w:r w:rsidRPr="0019447C">
        <w:rPr>
          <w:rFonts w:ascii="Verdana" w:hAnsi="Verdana" w:cs="Arial"/>
          <w:sz w:val="20"/>
          <w:lang w:val="pl-PL"/>
        </w:rPr>
        <w:t xml:space="preserve">Podpis.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 xml:space="preserve">Harmonogram z terminami składania zgłoszeń na poziomie kraju </w:t>
      </w:r>
      <w:r w:rsidRPr="0019447C">
        <w:rPr>
          <w:rFonts w:ascii="Verdana" w:hAnsi="Verdana"/>
          <w:b/>
          <w:sz w:val="20"/>
          <w:u w:val="single"/>
          <w:lang w:val="pl-PL"/>
        </w:rPr>
        <w:t xml:space="preserve">ustalają poszczególne krajowe </w:t>
      </w:r>
      <w:r>
        <w:rPr>
          <w:rFonts w:ascii="Verdana" w:hAnsi="Verdana"/>
          <w:b/>
          <w:sz w:val="20"/>
          <w:u w:val="single"/>
          <w:lang w:val="pl-PL"/>
        </w:rPr>
        <w:t>KPK</w:t>
      </w:r>
      <w:r w:rsidRPr="0019447C">
        <w:rPr>
          <w:rFonts w:ascii="Verdana" w:hAnsi="Verdana" w:cs="Arial"/>
          <w:b/>
          <w:sz w:val="20"/>
          <w:lang w:val="pl-PL"/>
        </w:rPr>
        <w:t>.</w:t>
      </w:r>
      <w:r w:rsidRPr="0019447C">
        <w:rPr>
          <w:rFonts w:ascii="Verdana" w:hAnsi="Verdana" w:cs="Arial"/>
          <w:sz w:val="20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u w:val="single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 xml:space="preserve">W konkursie europejskim termin składania zgłoszeń upływa </w:t>
      </w:r>
      <w:r w:rsidRPr="0019447C">
        <w:rPr>
          <w:rFonts w:ascii="Verdana" w:hAnsi="Verdana" w:cs="Arial"/>
          <w:sz w:val="20"/>
          <w:u w:val="single"/>
          <w:lang w:val="pl-PL"/>
        </w:rPr>
        <w:t>16 lipca 2012 roku.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46" w:name="_Toc158800212"/>
      <w:bookmarkStart w:id="47" w:name="_Toc158800424"/>
      <w:bookmarkStart w:id="48" w:name="_Toc158800446"/>
      <w:bookmarkStart w:id="49" w:name="_Toc318106056"/>
      <w:r w:rsidRPr="0019447C">
        <w:rPr>
          <w:rFonts w:ascii="Verdana" w:hAnsi="Verdana"/>
          <w:color w:val="auto"/>
          <w:lang w:val="pl-PL"/>
        </w:rPr>
        <w:t>2.5. Kryteria przyznawania nagród</w:t>
      </w:r>
      <w:bookmarkEnd w:id="46"/>
      <w:bookmarkEnd w:id="47"/>
      <w:bookmarkEnd w:id="48"/>
      <w:bookmarkEnd w:id="49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Zgłoszenia spełniające wszystkie warunki konkursu będą oceniane pod kątem użyteczności dla dobra przedsiębiorczości.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Każdemu uczestnikowi przydzielane będą punkty za następujące zalety:  </w:t>
      </w:r>
    </w:p>
    <w:p w:rsidR="00CF7C89" w:rsidRPr="0019447C" w:rsidRDefault="00CF7C89" w:rsidP="00707674">
      <w:pPr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>Oryginalność i wykonalność</w:t>
      </w:r>
      <w:r w:rsidRPr="0019447C">
        <w:rPr>
          <w:rFonts w:ascii="Verdana" w:hAnsi="Verdana"/>
          <w:sz w:val="20"/>
          <w:lang w:val="pl-PL"/>
        </w:rPr>
        <w:t xml:space="preserve">: dlaczego projekt odniósł sukces? Jakie są jego aspekty innowacyjne? </w:t>
      </w:r>
    </w:p>
    <w:p w:rsidR="00CF7C89" w:rsidRPr="0019447C" w:rsidRDefault="00CF7C89" w:rsidP="00707674">
      <w:pPr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>Wpływ na lokalną gospodarkę</w:t>
      </w:r>
      <w:r w:rsidRPr="0019447C">
        <w:rPr>
          <w:rFonts w:ascii="Verdana" w:hAnsi="Verdana"/>
          <w:sz w:val="20"/>
          <w:lang w:val="pl-PL"/>
        </w:rPr>
        <w:t>: dostarczenie danych liczbowych potwierdzających powodzenie projektu.</w:t>
      </w:r>
    </w:p>
    <w:p w:rsidR="00CF7C89" w:rsidRPr="0019447C" w:rsidRDefault="00CF7C89" w:rsidP="00707674">
      <w:pPr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>Poprawa stosunków pomiędzy lokalnymi partnerami społecznymi</w:t>
      </w:r>
      <w:r w:rsidRPr="0019447C">
        <w:rPr>
          <w:rFonts w:ascii="Verdana" w:hAnsi="Verdana"/>
          <w:sz w:val="20"/>
          <w:lang w:val="pl-PL"/>
        </w:rPr>
        <w:t xml:space="preserve">: czy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z realizacji tej inicjatywy skorzystała więcej niż jedna strona zainteresowana? Dlaczego strony były zaangażowane i w jakim stopniu uczestniczyły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w inicjatywie? </w:t>
      </w:r>
    </w:p>
    <w:p w:rsidR="00CF7C89" w:rsidRPr="0019447C" w:rsidRDefault="00CF7C89" w:rsidP="00707674">
      <w:pPr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2"/>
          <w:lang w:val="pl-PL"/>
        </w:rPr>
      </w:pPr>
      <w:r w:rsidRPr="0019447C">
        <w:rPr>
          <w:rFonts w:ascii="Verdana" w:hAnsi="Verdana"/>
          <w:sz w:val="20"/>
          <w:u w:val="single"/>
          <w:lang w:val="pl-PL"/>
        </w:rPr>
        <w:t>Możliwość przeniesienia</w:t>
      </w:r>
      <w:r w:rsidRPr="0019447C">
        <w:rPr>
          <w:rFonts w:ascii="Verdana" w:hAnsi="Verdana"/>
          <w:sz w:val="20"/>
          <w:lang w:val="pl-PL"/>
        </w:rPr>
        <w:t xml:space="preserve">: czy takie podejście można powtórzyć w regionie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>i w innych mi</w:t>
      </w:r>
      <w:r w:rsidRPr="0019447C">
        <w:rPr>
          <w:rFonts w:ascii="Verdana" w:hAnsi="Verdana" w:cs="Arial"/>
          <w:sz w:val="20"/>
          <w:lang w:val="pl-PL"/>
        </w:rPr>
        <w:t xml:space="preserve">ejscach w Europie? </w:t>
      </w:r>
    </w:p>
    <w:p w:rsidR="00CF7C89" w:rsidRDefault="00CF7C89" w:rsidP="0019447C">
      <w:pPr>
        <w:pStyle w:val="Nagwek1"/>
        <w:rPr>
          <w:rFonts w:ascii="Verdana" w:hAnsi="Verdana"/>
          <w:color w:val="auto"/>
          <w:lang w:val="pl-PL"/>
        </w:rPr>
      </w:pPr>
      <w:bookmarkStart w:id="50" w:name="_Toc158800213"/>
      <w:bookmarkStart w:id="51" w:name="_Toc158800425"/>
      <w:bookmarkStart w:id="52" w:name="_Toc158800447"/>
      <w:bookmarkStart w:id="53" w:name="_Toc318106057"/>
    </w:p>
    <w:p w:rsidR="00CF7C89" w:rsidRPr="0019447C" w:rsidRDefault="00CF7C89" w:rsidP="0019447C">
      <w:pPr>
        <w:pStyle w:val="Nagwek1"/>
        <w:rPr>
          <w:rFonts w:ascii="Verdana" w:hAnsi="Verdana"/>
          <w:color w:val="auto"/>
          <w:lang w:val="pl-PL"/>
        </w:rPr>
      </w:pPr>
      <w:r w:rsidRPr="0019447C">
        <w:rPr>
          <w:rFonts w:ascii="Verdana" w:hAnsi="Verdana"/>
          <w:color w:val="auto"/>
          <w:lang w:val="pl-PL"/>
        </w:rPr>
        <w:t>3. OCENA I KONKURS NA SZCZEBLU KRAJOWYM</w:t>
      </w:r>
      <w:bookmarkEnd w:id="50"/>
      <w:bookmarkEnd w:id="51"/>
      <w:bookmarkEnd w:id="52"/>
      <w:bookmarkEnd w:id="53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54" w:name="_Toc158800214"/>
      <w:bookmarkStart w:id="55" w:name="_Toc158800426"/>
      <w:bookmarkStart w:id="56" w:name="_Toc158800448"/>
    </w:p>
    <w:p w:rsidR="00CF7C89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57" w:name="_Toc318106058"/>
      <w:r w:rsidRPr="0019447C">
        <w:rPr>
          <w:rFonts w:ascii="Verdana" w:hAnsi="Verdana"/>
          <w:color w:val="auto"/>
          <w:lang w:val="pl-PL"/>
        </w:rPr>
        <w:t>3.1. Kryteria kwalifikowalności</w:t>
      </w:r>
      <w:bookmarkEnd w:id="54"/>
      <w:bookmarkEnd w:id="55"/>
      <w:bookmarkEnd w:id="56"/>
      <w:bookmarkEnd w:id="57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DC09C9" w:rsidRPr="00DC09C9" w:rsidRDefault="00DC09C9" w:rsidP="00DC09C9">
      <w:pPr>
        <w:pStyle w:val="Default"/>
        <w:rPr>
          <w:lang w:val="pl-PL"/>
        </w:rPr>
      </w:pPr>
    </w:p>
    <w:tbl>
      <w:tblPr>
        <w:tblW w:w="9038" w:type="dxa"/>
        <w:tblInd w:w="1" w:type="dxa"/>
        <w:tblLook w:val="0000"/>
      </w:tblPr>
      <w:tblGrid>
        <w:gridCol w:w="7540"/>
        <w:gridCol w:w="657"/>
        <w:gridCol w:w="841"/>
      </w:tblGrid>
      <w:tr w:rsidR="00CF7C89" w:rsidRPr="0019447C" w:rsidTr="00602B75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b/>
                <w:bCs/>
                <w:sz w:val="22"/>
                <w:lang w:val="pl-PL"/>
              </w:rPr>
              <w:t>Pytania kwalifikacyjne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19447C">
              <w:rPr>
                <w:rFonts w:ascii="Verdana" w:hAnsi="Verdana" w:cs="Arial"/>
                <w:b/>
                <w:sz w:val="20"/>
                <w:lang w:val="pl-PL"/>
              </w:rPr>
              <w:t>Tak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19447C">
              <w:rPr>
                <w:rFonts w:ascii="Verdana" w:hAnsi="Verdana" w:cs="Arial"/>
                <w:b/>
                <w:sz w:val="20"/>
                <w:lang w:val="pl-PL"/>
              </w:rPr>
              <w:t>Nie</w:t>
            </w: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zgłoszenie wpłynęło w terminie?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zostało podpisane przez uprawnionego przedstawiciela?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formularz został dokładnie wypełniony i podpisany?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siedziba kandydata do nagrody leży w jednym z 27 w krajów Unii, </w:t>
            </w:r>
            <w:r w:rsidRPr="0019447C">
              <w:rPr>
                <w:rFonts w:ascii="Verdana" w:hAnsi="Verdana" w:cs="Arial"/>
                <w:sz w:val="20"/>
                <w:lang w:val="pl-PL"/>
              </w:rPr>
              <w:t xml:space="preserve">w Chorwacji, Islandii, Norwegii, Serbii lub Turcji?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tylko jeden projekt kandydata został zgłoszony, wyłącznie do jednej kategorii nagrody?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projekt był prowadzony w ciągu minionych dwóch lat?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  <w:tr w:rsidR="00CF7C89" w:rsidRPr="00DC09C9" w:rsidTr="00602B7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niezależny przedsiębiorca, polityk lub naukowiec udzielił poparcia kandydaturze?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pl-PL"/>
              </w:rPr>
            </w:pPr>
          </w:p>
        </w:tc>
      </w:tr>
    </w:tbl>
    <w:p w:rsidR="00CF7C89" w:rsidRPr="0019447C" w:rsidRDefault="00CF7C8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lastRenderedPageBreak/>
        <w:t xml:space="preserve">W przypadku spełnienia wszystkich warunków (- wyłącznie odpowiedzi twierdzące), zgłoszenie zostaje przyjęte.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W przypadku zgłoszeń niespełniających wszystkich wymienionych warunków, krajowe władze konkursu mogą zażądać dokonania zmian w zgłoszeniu od wnioskodawcy – w zależności od czasu, oceny i dobrej woli jurorów.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Zgłoszenia uznane za dopuszczone do konkursu zostaną poddane selekcji na poziomie kraju. 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/>
          <w:sz w:val="20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58" w:name="_Toc318106059"/>
      <w:bookmarkStart w:id="59" w:name="_Toc158800215"/>
      <w:bookmarkStart w:id="60" w:name="_Toc158800427"/>
      <w:bookmarkStart w:id="61" w:name="_Toc158800449"/>
      <w:r w:rsidRPr="0019447C">
        <w:rPr>
          <w:rFonts w:ascii="Verdana" w:hAnsi="Verdana"/>
          <w:color w:val="auto"/>
          <w:lang w:val="pl-PL"/>
        </w:rPr>
        <w:t>3.2. Kryteria wyboru</w:t>
      </w:r>
      <w:bookmarkEnd w:id="58"/>
      <w:r w:rsidRPr="0019447C">
        <w:rPr>
          <w:rFonts w:ascii="Verdana" w:hAnsi="Verdana"/>
          <w:color w:val="auto"/>
          <w:lang w:val="pl-PL"/>
        </w:rPr>
        <w:t xml:space="preserve"> </w:t>
      </w:r>
      <w:bookmarkEnd w:id="59"/>
      <w:bookmarkEnd w:id="60"/>
      <w:bookmarkEnd w:id="61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Default="00CF7C89" w:rsidP="0019447C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Każde zgłoszenie poddaje się ocenie w porównaniu z pozostałymi zgłoszonymi </w:t>
      </w:r>
      <w:r>
        <w:rPr>
          <w:rFonts w:ascii="Verdana" w:hAnsi="Verdana"/>
          <w:sz w:val="20"/>
          <w:lang w:val="pl-PL"/>
        </w:rPr>
        <w:br/>
      </w:r>
      <w:r w:rsidRPr="0019447C">
        <w:rPr>
          <w:rFonts w:ascii="Verdana" w:hAnsi="Verdana"/>
          <w:sz w:val="20"/>
          <w:lang w:val="pl-PL"/>
        </w:rPr>
        <w:t xml:space="preserve">w danej kategorii. Można stosować następujący schemat: </w:t>
      </w:r>
    </w:p>
    <w:p w:rsidR="00DC09C9" w:rsidRPr="0019447C" w:rsidRDefault="00DC09C9" w:rsidP="0019447C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Arial"/>
          <w:sz w:val="20"/>
          <w:lang w:val="pl-PL"/>
        </w:rPr>
      </w:pPr>
    </w:p>
    <w:tbl>
      <w:tblPr>
        <w:tblW w:w="9746" w:type="dxa"/>
        <w:tblInd w:w="1" w:type="dxa"/>
        <w:tblLayout w:type="fixed"/>
        <w:tblLook w:val="0000"/>
      </w:tblPr>
      <w:tblGrid>
        <w:gridCol w:w="8187"/>
        <w:gridCol w:w="1559"/>
      </w:tblGrid>
      <w:tr w:rsidR="00CF7C89" w:rsidRPr="00707674" w:rsidTr="00DC09C9">
        <w:trPr>
          <w:cantSplit/>
        </w:trPr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C89" w:rsidRPr="0019447C" w:rsidRDefault="00CF7C89" w:rsidP="00DC09C9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19447C">
              <w:rPr>
                <w:rFonts w:ascii="Verdana" w:hAnsi="Verdana" w:cs="Arial"/>
                <w:b/>
                <w:bCs/>
                <w:sz w:val="22"/>
                <w:lang w:val="pl-PL"/>
              </w:rPr>
              <w:t xml:space="preserve">Kryteria wyboru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lang w:val="pl-PL"/>
              </w:rPr>
            </w:pPr>
            <w:r w:rsidRPr="0019447C">
              <w:rPr>
                <w:rFonts w:ascii="Verdana" w:hAnsi="Verdana"/>
                <w:b/>
                <w:bCs/>
                <w:sz w:val="22"/>
                <w:lang w:val="pl-PL"/>
              </w:rPr>
              <w:t>Najwyższa ocena</w:t>
            </w:r>
          </w:p>
        </w:tc>
      </w:tr>
      <w:tr w:rsidR="00CF7C89" w:rsidRPr="0019447C" w:rsidTr="00DC09C9">
        <w:trPr>
          <w:cantSplit/>
        </w:trPr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Oryginalność i wykonalność: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sz w:val="20"/>
                <w:lang w:val="pl-PL"/>
              </w:rPr>
              <w:t xml:space="preserve">Czy projekt jest oryginalny i nowatorski?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Na czym polegało powodzenie projektu?  </w:t>
            </w:r>
          </w:p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sz w:val="20"/>
                <w:lang w:val="pl-PL"/>
              </w:rPr>
              <w:t>20 punktów</w:t>
            </w:r>
          </w:p>
        </w:tc>
      </w:tr>
      <w:tr w:rsidR="00CF7C89" w:rsidRPr="0019447C" w:rsidTr="00DC09C9">
        <w:trPr>
          <w:cantSplit/>
        </w:trPr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Wpływ na lokalną gospodarkę: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Jaki wywarł on wpływ na regionalną gospodarkę?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poszerzył się rynek pracy?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efekty mają trwały i powtarzalny charakter?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Jakie są przewidywane skutki długofalowe?  </w:t>
            </w:r>
          </w:p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sz w:val="20"/>
                <w:lang w:val="pl-PL"/>
              </w:rPr>
              <w:t>30 punktów</w:t>
            </w:r>
          </w:p>
        </w:tc>
      </w:tr>
      <w:tr w:rsidR="00CF7C89" w:rsidRPr="0019447C" w:rsidTr="00DC09C9">
        <w:trPr>
          <w:cantSplit/>
        </w:trPr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Poprawa stosunków pomiędzy lokalnymi partnerami społecznymi: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miejscowa ludność uczestniczyła w projekcie?  </w:t>
            </w:r>
          </w:p>
          <w:p w:rsidR="00CF7C89" w:rsidRPr="00DC09C9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odniosły z niego korzyść wspólnoty mniej uprzywilejowane?  </w:t>
            </w:r>
          </w:p>
          <w:p w:rsidR="00CF7C89" w:rsidRPr="00DC09C9" w:rsidRDefault="00CF7C89" w:rsidP="00DC09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DC09C9">
              <w:rPr>
                <w:rFonts w:ascii="Verdana" w:hAnsi="Verdana"/>
                <w:sz w:val="20"/>
                <w:lang w:val="pl-PL"/>
              </w:rPr>
              <w:t xml:space="preserve">Czy uszanowano lokalny charakter kulturowy, środowisko naturalne </w:t>
            </w:r>
            <w:r w:rsidR="00DC09C9" w:rsidRPr="00DC09C9">
              <w:rPr>
                <w:rFonts w:ascii="Verdana" w:hAnsi="Verdana"/>
                <w:sz w:val="20"/>
                <w:lang w:val="pl-PL"/>
              </w:rPr>
              <w:t xml:space="preserve">     </w:t>
            </w:r>
            <w:r w:rsidRPr="00DC09C9">
              <w:rPr>
                <w:rFonts w:ascii="Verdana" w:hAnsi="Verdana"/>
                <w:sz w:val="20"/>
                <w:lang w:val="pl-PL"/>
              </w:rPr>
              <w:t xml:space="preserve">i społeczne? </w:t>
            </w:r>
          </w:p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sz w:val="20"/>
                <w:lang w:val="pl-PL"/>
              </w:rPr>
              <w:t>25 punktów</w:t>
            </w:r>
          </w:p>
        </w:tc>
      </w:tr>
      <w:tr w:rsidR="00CF7C89" w:rsidRPr="0019447C" w:rsidTr="00DC09C9">
        <w:trPr>
          <w:cantSplit/>
        </w:trPr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Możliwość przeniesienia: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projekt dałoby się rozszerzyć w obrębie regionu?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projekt dałoby się rozszerzyć w obrębie regionu?  </w:t>
            </w:r>
          </w:p>
          <w:p w:rsidR="00CF7C89" w:rsidRPr="0019447C" w:rsidRDefault="00CF7C89" w:rsidP="00602B7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projekt może stanowić inspirację </w:t>
            </w:r>
          </w:p>
          <w:p w:rsidR="00CF7C89" w:rsidRPr="0019447C" w:rsidRDefault="00CF7C89" w:rsidP="00DC09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992" w:hanging="567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/>
                <w:sz w:val="20"/>
                <w:lang w:val="pl-PL"/>
              </w:rPr>
              <w:t xml:space="preserve">Czy nawiązano kontakty lub partnerstwa w celu przekazania </w:t>
            </w:r>
            <w:r w:rsidR="00DC09C9">
              <w:rPr>
                <w:rFonts w:ascii="Verdana" w:hAnsi="Verdana"/>
                <w:sz w:val="20"/>
                <w:lang w:val="pl-PL"/>
              </w:rPr>
              <w:t xml:space="preserve"> </w:t>
            </w:r>
            <w:r w:rsidRPr="0019447C">
              <w:rPr>
                <w:rFonts w:ascii="Verdana" w:hAnsi="Verdana"/>
                <w:sz w:val="20"/>
                <w:lang w:val="pl-PL"/>
              </w:rPr>
              <w:t xml:space="preserve">nabytych doświadczeń? </w:t>
            </w:r>
          </w:p>
          <w:p w:rsidR="00CF7C89" w:rsidRPr="0019447C" w:rsidRDefault="00CF7C89" w:rsidP="00602B75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9" w:rsidRPr="0019447C" w:rsidRDefault="00CF7C89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lang w:val="pl-PL"/>
              </w:rPr>
            </w:pPr>
            <w:r w:rsidRPr="0019447C">
              <w:rPr>
                <w:rFonts w:ascii="Verdana" w:hAnsi="Verdana" w:cs="Arial"/>
                <w:sz w:val="20"/>
                <w:lang w:val="pl-PL"/>
              </w:rPr>
              <w:t>25 punktów</w:t>
            </w:r>
          </w:p>
        </w:tc>
      </w:tr>
    </w:tbl>
    <w:p w:rsidR="00DC09C9" w:rsidRDefault="00DC09C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lang w:val="pl-PL"/>
        </w:rPr>
      </w:pPr>
    </w:p>
    <w:p w:rsidR="00CF7C89" w:rsidRPr="0019447C" w:rsidRDefault="00CF7C8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Zwycięzcą w każdej z kategorii zostaje ta inicjatywa, która uzyskała największą sumę punktów w danej kategorii. 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 xml:space="preserve">Jury może zdecydować o przeniesieniu zgłoszenia do bardziej stosownej kategorii.  </w:t>
      </w:r>
    </w:p>
    <w:p w:rsidR="00CF7C89" w:rsidRPr="0019447C" w:rsidRDefault="00CF7C89" w:rsidP="0019447C">
      <w:pPr>
        <w:autoSpaceDE w:val="0"/>
        <w:autoSpaceDN w:val="0"/>
        <w:adjustRightInd w:val="0"/>
        <w:jc w:val="both"/>
        <w:rPr>
          <w:rFonts w:ascii="Verdana" w:hAnsi="Verdana"/>
          <w:sz w:val="20"/>
          <w:lang w:val="pl-PL"/>
        </w:rPr>
      </w:pPr>
    </w:p>
    <w:p w:rsidR="00CF7C89" w:rsidRPr="0019447C" w:rsidRDefault="00CF7C89" w:rsidP="0019447C">
      <w:pPr>
        <w:pStyle w:val="Nagwek2"/>
        <w:rPr>
          <w:rFonts w:ascii="Verdana" w:hAnsi="Verdana"/>
          <w:color w:val="auto"/>
          <w:lang w:val="pl-PL"/>
        </w:rPr>
      </w:pPr>
      <w:bookmarkStart w:id="62" w:name="_Toc158800216"/>
      <w:bookmarkStart w:id="63" w:name="_Toc158800428"/>
      <w:bookmarkStart w:id="64" w:name="_Toc158800450"/>
      <w:bookmarkStart w:id="65" w:name="_Toc318106060"/>
      <w:r w:rsidRPr="0019447C">
        <w:rPr>
          <w:rFonts w:ascii="Verdana" w:hAnsi="Verdana"/>
          <w:color w:val="auto"/>
          <w:lang w:val="pl-PL"/>
        </w:rPr>
        <w:t>3.3. Nominowani</w:t>
      </w:r>
      <w:bookmarkEnd w:id="62"/>
      <w:bookmarkEnd w:id="63"/>
      <w:bookmarkEnd w:id="64"/>
      <w:bookmarkEnd w:id="65"/>
      <w:r w:rsidRPr="0019447C">
        <w:rPr>
          <w:rFonts w:ascii="Verdana" w:hAnsi="Verdana"/>
          <w:color w:val="auto"/>
          <w:lang w:val="pl-PL"/>
        </w:rPr>
        <w:t xml:space="preserve"> </w:t>
      </w:r>
    </w:p>
    <w:p w:rsidR="00CF7C89" w:rsidRPr="0019447C" w:rsidRDefault="00CF7C89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lang w:val="pl-PL"/>
        </w:rPr>
      </w:pPr>
      <w:r w:rsidRPr="0019447C">
        <w:rPr>
          <w:rFonts w:ascii="Verdana" w:hAnsi="Verdana"/>
          <w:sz w:val="20"/>
          <w:lang w:val="pl-PL"/>
        </w:rPr>
        <w:t>Do szczebla europejskiego z każdego kraju zgłaszane są najwyżej</w:t>
      </w:r>
      <w:r w:rsidRPr="0019447C">
        <w:rPr>
          <w:rFonts w:ascii="Verdana" w:hAnsi="Verdana" w:cs="Arial"/>
          <w:sz w:val="20"/>
          <w:lang w:val="pl-PL"/>
        </w:rPr>
        <w:t xml:space="preserve"> dwie kandydatury.</w:t>
      </w:r>
    </w:p>
    <w:p w:rsidR="00CF7C89" w:rsidRPr="00A753D3" w:rsidRDefault="00CF7C89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CF7C89" w:rsidRPr="00A753D3" w:rsidRDefault="00CF7C89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CF7C89" w:rsidRPr="00A753D3" w:rsidRDefault="00CF7C89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sectPr w:rsidR="00CF7C89" w:rsidRPr="00A753D3" w:rsidSect="006146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82" w:rsidRDefault="000B5B82">
      <w:r>
        <w:separator/>
      </w:r>
    </w:p>
  </w:endnote>
  <w:endnote w:type="continuationSeparator" w:id="0">
    <w:p w:rsidR="000B5B82" w:rsidRDefault="000B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89" w:rsidRPr="0019447C" w:rsidRDefault="00CF7C89" w:rsidP="0019447C">
    <w:pPr>
      <w:pStyle w:val="Stopka"/>
      <w:rPr>
        <w:rFonts w:ascii="Verdana" w:hAnsi="Verdana"/>
        <w:sz w:val="20"/>
        <w:szCs w:val="20"/>
      </w:rPr>
    </w:pPr>
    <w:r w:rsidRPr="0019447C">
      <w:rPr>
        <w:rFonts w:ascii="Verdana" w:hAnsi="Verdana"/>
        <w:sz w:val="20"/>
        <w:szCs w:val="20"/>
      </w:rPr>
      <w:t>Marzec 2012 roku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82" w:rsidRDefault="000B5B82">
      <w:r>
        <w:separator/>
      </w:r>
    </w:p>
  </w:footnote>
  <w:footnote w:type="continuationSeparator" w:id="0">
    <w:p w:rsidR="000B5B82" w:rsidRDefault="000B5B82">
      <w:r>
        <w:continuationSeparator/>
      </w:r>
    </w:p>
  </w:footnote>
  <w:footnote w:id="1">
    <w:p w:rsidR="00CF7C89" w:rsidRPr="00DC09C9" w:rsidRDefault="00CF7C89" w:rsidP="0019447C">
      <w:pPr>
        <w:pStyle w:val="Tekstprzypisudolnego"/>
        <w:rPr>
          <w:lang w:val="pl-PL"/>
        </w:rPr>
      </w:pPr>
      <w:r w:rsidRPr="00302714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>Austria, Belgia, Bułgaria, Cypr, Czechy, Dania, Estonia, Finlandia, Francja, Grecja, Hiszpania, Holandia, Irlandia, Litwa, Luksemburg, Łotwa, Malta, Niemcy, Polska, Portugalia, Rumunia, Słowacja, Słowenia, Szwecja, Węgry, Wielka Brytania i Włochy.</w:t>
      </w:r>
    </w:p>
  </w:footnote>
  <w:footnote w:id="2">
    <w:p w:rsidR="00CF7C89" w:rsidRPr="00DC09C9" w:rsidRDefault="00CF7C89" w:rsidP="0019447C">
      <w:pPr>
        <w:pStyle w:val="Tekstprzypisudolnego"/>
        <w:jc w:val="both"/>
        <w:rPr>
          <w:lang w:val="pl-PL"/>
        </w:rPr>
      </w:pPr>
      <w:r w:rsidRPr="00E01817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Uwaga dla </w:t>
      </w:r>
      <w:r>
        <w:rPr>
          <w:color w:val="000000"/>
          <w:sz w:val="18"/>
          <w:lang w:val="pl-PL"/>
        </w:rPr>
        <w:t>KPK</w:t>
      </w:r>
      <w:r w:rsidRPr="002C6D78">
        <w:rPr>
          <w:color w:val="000000"/>
          <w:sz w:val="18"/>
          <w:lang w:val="pl-PL"/>
        </w:rPr>
        <w:t>: formularz zgłoszenia zawarty w załączniku obowiązuje przy zgłaszaniu uczestników wytypowanych do konkursu na szczeblu europejskim. Jego użycie na szczeblu krajowym nie jest obowiązkowe.</w:t>
      </w:r>
    </w:p>
  </w:footnote>
  <w:footnote w:id="3">
    <w:p w:rsidR="00CF7C89" w:rsidRPr="00DC09C9" w:rsidRDefault="00CF7C89" w:rsidP="0019447C">
      <w:pPr>
        <w:pStyle w:val="Tekstprzypisudolnego"/>
        <w:rPr>
          <w:lang w:val="pl-PL"/>
        </w:rPr>
      </w:pPr>
      <w:r w:rsidRPr="004D0B7B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>Zielona Księga w sprawie partnerstw publiczno-prywatnych oraz prawa wspólnotowego dotyczącego zamówień publicznych i koncesji, COM(2004) 327 wersja ostateczna, Bruksela, 30 kwietnia 2004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89" w:rsidRDefault="007458F7" w:rsidP="00A5097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7C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7C89" w:rsidRDefault="00CF7C89" w:rsidP="008D2C6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89" w:rsidRDefault="00CF7C89" w:rsidP="008D2C6B">
    <w:pPr>
      <w:tabs>
        <w:tab w:val="right" w:pos="8640"/>
      </w:tabs>
      <w:ind w:right="360"/>
      <w:rPr>
        <w:rStyle w:val="Numerstrony"/>
        <w:sz w:val="20"/>
        <w:szCs w:val="20"/>
      </w:rPr>
    </w:pPr>
    <w:r w:rsidRPr="0019447C">
      <w:rPr>
        <w:rFonts w:ascii="Verdana" w:hAnsi="Verdana"/>
        <w:i/>
        <w:sz w:val="20"/>
      </w:rPr>
      <w:t>Europejskie Nagrody Promocji Przedsiębiorczości 2012</w:t>
    </w:r>
    <w:r>
      <w:rPr>
        <w:i/>
        <w:sz w:val="20"/>
      </w:rPr>
      <w:tab/>
    </w:r>
    <w:r w:rsidR="007458F7"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PAGE </w:instrText>
    </w:r>
    <w:r w:rsidR="007458F7" w:rsidRPr="006A79D9">
      <w:rPr>
        <w:rStyle w:val="Numerstrony"/>
        <w:rFonts w:ascii="Verdana" w:hAnsi="Verdana"/>
        <w:sz w:val="20"/>
        <w:szCs w:val="20"/>
      </w:rPr>
      <w:fldChar w:fldCharType="separate"/>
    </w:r>
    <w:r w:rsidR="00DC09C9">
      <w:rPr>
        <w:rStyle w:val="Numerstrony"/>
        <w:rFonts w:ascii="Verdana" w:hAnsi="Verdana"/>
        <w:noProof/>
        <w:sz w:val="20"/>
        <w:szCs w:val="20"/>
      </w:rPr>
      <w:t>9</w:t>
    </w:r>
    <w:r w:rsidR="007458F7" w:rsidRPr="006A79D9">
      <w:rPr>
        <w:rStyle w:val="Numerstrony"/>
        <w:rFonts w:ascii="Verdana" w:hAnsi="Verdana"/>
        <w:sz w:val="20"/>
        <w:szCs w:val="20"/>
      </w:rPr>
      <w:fldChar w:fldCharType="end"/>
    </w:r>
    <w:r w:rsidRPr="006A79D9">
      <w:rPr>
        <w:rStyle w:val="Numerstrony"/>
        <w:rFonts w:ascii="Verdana" w:hAnsi="Verdana"/>
        <w:sz w:val="20"/>
        <w:szCs w:val="20"/>
      </w:rPr>
      <w:t>/</w:t>
    </w:r>
    <w:r w:rsidR="007458F7"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NUMPAGES </w:instrText>
    </w:r>
    <w:r w:rsidR="007458F7" w:rsidRPr="006A79D9">
      <w:rPr>
        <w:rStyle w:val="Numerstrony"/>
        <w:rFonts w:ascii="Verdana" w:hAnsi="Verdana"/>
        <w:sz w:val="20"/>
        <w:szCs w:val="20"/>
      </w:rPr>
      <w:fldChar w:fldCharType="separate"/>
    </w:r>
    <w:r w:rsidR="00DC09C9">
      <w:rPr>
        <w:rStyle w:val="Numerstrony"/>
        <w:rFonts w:ascii="Verdana" w:hAnsi="Verdana"/>
        <w:noProof/>
        <w:sz w:val="20"/>
        <w:szCs w:val="20"/>
      </w:rPr>
      <w:t>9</w:t>
    </w:r>
    <w:r w:rsidR="007458F7" w:rsidRPr="006A79D9">
      <w:rPr>
        <w:rStyle w:val="Numerstrony"/>
        <w:rFonts w:ascii="Verdana" w:hAnsi="Verdana"/>
        <w:sz w:val="20"/>
        <w:szCs w:val="20"/>
      </w:rPr>
      <w:fldChar w:fldCharType="end"/>
    </w:r>
  </w:p>
  <w:p w:rsidR="00CF7C89" w:rsidRPr="004634E3" w:rsidRDefault="00CF7C89" w:rsidP="004634E3">
    <w:pPr>
      <w:tabs>
        <w:tab w:val="right" w:pos="8640"/>
      </w:tabs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89" w:rsidRPr="00DE36E5" w:rsidRDefault="00DC09C9" w:rsidP="00E57EE7">
    <w:pPr>
      <w:pStyle w:val="Nagwek"/>
      <w:jc w:val="center"/>
      <w:rPr>
        <w:rFonts w:ascii="Verdana" w:hAnsi="Verdana"/>
      </w:rPr>
    </w:pPr>
    <w:r>
      <w:rPr>
        <w:rFonts w:ascii="Arial" w:hAnsi="Arial" w:cs="Arial"/>
        <w:b/>
        <w:noProof/>
        <w:color w:val="FFCC00"/>
        <w:lang w:val="pl-PL" w:eastAsia="pl-PL"/>
      </w:rPr>
      <w:drawing>
        <wp:inline distT="0" distB="0" distL="0" distR="0">
          <wp:extent cx="1819275" cy="1285875"/>
          <wp:effectExtent l="19050" t="0" r="9525" b="0"/>
          <wp:docPr id="1" name="Obraz 1" descr="EU_Letterhead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etterhead - 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613" t="2109" r="27881" b="7299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BD779A3"/>
    <w:multiLevelType w:val="hybridMultilevel"/>
    <w:tmpl w:val="62D865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86B6962"/>
    <w:multiLevelType w:val="hybridMultilevel"/>
    <w:tmpl w:val="15DBF0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24D8BCB"/>
    <w:multiLevelType w:val="hybridMultilevel"/>
    <w:tmpl w:val="4328910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77D1671"/>
    <w:multiLevelType w:val="hybridMultilevel"/>
    <w:tmpl w:val="F8268A36"/>
    <w:lvl w:ilvl="0" w:tplc="9B2098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0FA0992"/>
    <w:multiLevelType w:val="hybridMultilevel"/>
    <w:tmpl w:val="6BDFEF5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815EFFA"/>
    <w:multiLevelType w:val="hybridMultilevel"/>
    <w:tmpl w:val="68DFF4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09FDD51"/>
    <w:multiLevelType w:val="hybridMultilevel"/>
    <w:tmpl w:val="2BA7EB0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4508E2A4"/>
    <w:multiLevelType w:val="hybridMultilevel"/>
    <w:tmpl w:val="63C7757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4666790A"/>
    <w:multiLevelType w:val="hybridMultilevel"/>
    <w:tmpl w:val="A57E70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8930ED"/>
    <w:multiLevelType w:val="multilevel"/>
    <w:tmpl w:val="A57E7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FB241C"/>
    <w:multiLevelType w:val="hybridMultilevel"/>
    <w:tmpl w:val="5782A49C"/>
    <w:lvl w:ilvl="0" w:tplc="7F22BB3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053CC"/>
    <w:multiLevelType w:val="hybridMultilevel"/>
    <w:tmpl w:val="5E11BA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4D56E0A"/>
    <w:multiLevelType w:val="hybridMultilevel"/>
    <w:tmpl w:val="AC8740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24"/>
  </w:num>
  <w:num w:numId="7">
    <w:abstractNumId w:val="13"/>
  </w:num>
  <w:num w:numId="8">
    <w:abstractNumId w:val="25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  <w:num w:numId="14">
    <w:abstractNumId w:val="22"/>
  </w:num>
  <w:num w:numId="15">
    <w:abstractNumId w:val="19"/>
  </w:num>
  <w:num w:numId="16">
    <w:abstractNumId w:val="21"/>
  </w:num>
  <w:num w:numId="17">
    <w:abstractNumId w:val="20"/>
  </w:num>
  <w:num w:numId="18">
    <w:abstractNumId w:val="3"/>
  </w:num>
  <w:num w:numId="19">
    <w:abstractNumId w:val="7"/>
  </w:num>
  <w:num w:numId="20">
    <w:abstractNumId w:val="9"/>
  </w:num>
  <w:num w:numId="21">
    <w:abstractNumId w:val="16"/>
  </w:num>
  <w:num w:numId="22">
    <w:abstractNumId w:val="7"/>
  </w:num>
  <w:num w:numId="23">
    <w:abstractNumId w:val="16"/>
  </w:num>
  <w:num w:numId="24">
    <w:abstractNumId w:val="23"/>
  </w:num>
  <w:num w:numId="25">
    <w:abstractNumId w:val="15"/>
  </w:num>
  <w:num w:numId="26">
    <w:abstractNumId w:val="17"/>
  </w:num>
  <w:num w:numId="27">
    <w:abstractNumId w:val="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983BB3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613E"/>
    <w:rsid w:val="00037EDA"/>
    <w:rsid w:val="000439BC"/>
    <w:rsid w:val="00044D7F"/>
    <w:rsid w:val="0004659A"/>
    <w:rsid w:val="00046E01"/>
    <w:rsid w:val="000504CB"/>
    <w:rsid w:val="00052DDC"/>
    <w:rsid w:val="000574F3"/>
    <w:rsid w:val="00057BF9"/>
    <w:rsid w:val="000650F1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5B82"/>
    <w:rsid w:val="000B7AFD"/>
    <w:rsid w:val="000C2110"/>
    <w:rsid w:val="000C61B5"/>
    <w:rsid w:val="000C79EF"/>
    <w:rsid w:val="000D142C"/>
    <w:rsid w:val="000D27AD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5C42"/>
    <w:rsid w:val="00142F5D"/>
    <w:rsid w:val="00147691"/>
    <w:rsid w:val="00152300"/>
    <w:rsid w:val="00152D0D"/>
    <w:rsid w:val="00153E14"/>
    <w:rsid w:val="001559D1"/>
    <w:rsid w:val="00162B71"/>
    <w:rsid w:val="00170B74"/>
    <w:rsid w:val="001728BB"/>
    <w:rsid w:val="001740B9"/>
    <w:rsid w:val="00184CC8"/>
    <w:rsid w:val="001852B7"/>
    <w:rsid w:val="001854F3"/>
    <w:rsid w:val="0018739C"/>
    <w:rsid w:val="0018797B"/>
    <w:rsid w:val="0019057E"/>
    <w:rsid w:val="00191D37"/>
    <w:rsid w:val="0019447C"/>
    <w:rsid w:val="001945AD"/>
    <w:rsid w:val="001A1EC2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709D"/>
    <w:rsid w:val="002079FD"/>
    <w:rsid w:val="0021181C"/>
    <w:rsid w:val="0021322B"/>
    <w:rsid w:val="00214A8A"/>
    <w:rsid w:val="00216037"/>
    <w:rsid w:val="002160A7"/>
    <w:rsid w:val="002162E4"/>
    <w:rsid w:val="00217044"/>
    <w:rsid w:val="00220ECB"/>
    <w:rsid w:val="0022267B"/>
    <w:rsid w:val="00223B11"/>
    <w:rsid w:val="00231233"/>
    <w:rsid w:val="002317F1"/>
    <w:rsid w:val="00231A52"/>
    <w:rsid w:val="00231D48"/>
    <w:rsid w:val="0023213E"/>
    <w:rsid w:val="00241B1B"/>
    <w:rsid w:val="00246196"/>
    <w:rsid w:val="002464C0"/>
    <w:rsid w:val="00246DA0"/>
    <w:rsid w:val="0024789A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4238"/>
    <w:rsid w:val="002A7B6F"/>
    <w:rsid w:val="002B0BAA"/>
    <w:rsid w:val="002B0CE5"/>
    <w:rsid w:val="002B31F7"/>
    <w:rsid w:val="002B50F3"/>
    <w:rsid w:val="002B56E4"/>
    <w:rsid w:val="002B5BFB"/>
    <w:rsid w:val="002B7670"/>
    <w:rsid w:val="002C4FA6"/>
    <w:rsid w:val="002C5682"/>
    <w:rsid w:val="002C6D78"/>
    <w:rsid w:val="002C7A8D"/>
    <w:rsid w:val="002D1F11"/>
    <w:rsid w:val="002D2F2A"/>
    <w:rsid w:val="002D33CF"/>
    <w:rsid w:val="002D3E51"/>
    <w:rsid w:val="002D410E"/>
    <w:rsid w:val="002D4621"/>
    <w:rsid w:val="002E0032"/>
    <w:rsid w:val="002E7126"/>
    <w:rsid w:val="002E7B34"/>
    <w:rsid w:val="002F4301"/>
    <w:rsid w:val="002F5E5F"/>
    <w:rsid w:val="002F702D"/>
    <w:rsid w:val="002F728F"/>
    <w:rsid w:val="00302714"/>
    <w:rsid w:val="0030388A"/>
    <w:rsid w:val="00305B63"/>
    <w:rsid w:val="0030688C"/>
    <w:rsid w:val="00306E93"/>
    <w:rsid w:val="003137A2"/>
    <w:rsid w:val="00313BC5"/>
    <w:rsid w:val="0032029D"/>
    <w:rsid w:val="0032152C"/>
    <w:rsid w:val="00322636"/>
    <w:rsid w:val="003229F9"/>
    <w:rsid w:val="00326225"/>
    <w:rsid w:val="003353B2"/>
    <w:rsid w:val="003377EF"/>
    <w:rsid w:val="00337FBD"/>
    <w:rsid w:val="00343B3F"/>
    <w:rsid w:val="00344F22"/>
    <w:rsid w:val="003451D5"/>
    <w:rsid w:val="00347625"/>
    <w:rsid w:val="00350555"/>
    <w:rsid w:val="003537C3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2AFA"/>
    <w:rsid w:val="003832F6"/>
    <w:rsid w:val="00383FA7"/>
    <w:rsid w:val="00385691"/>
    <w:rsid w:val="003922F0"/>
    <w:rsid w:val="00395E75"/>
    <w:rsid w:val="00396896"/>
    <w:rsid w:val="003A02BF"/>
    <w:rsid w:val="003A0C81"/>
    <w:rsid w:val="003A1AE1"/>
    <w:rsid w:val="003B3057"/>
    <w:rsid w:val="003C0275"/>
    <w:rsid w:val="003C1AD4"/>
    <w:rsid w:val="003C5081"/>
    <w:rsid w:val="003C57E2"/>
    <w:rsid w:val="003C6948"/>
    <w:rsid w:val="003D0061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F0105"/>
    <w:rsid w:val="003F064C"/>
    <w:rsid w:val="003F0A06"/>
    <w:rsid w:val="003F13C1"/>
    <w:rsid w:val="003F1B59"/>
    <w:rsid w:val="003F240C"/>
    <w:rsid w:val="003F3DFF"/>
    <w:rsid w:val="00402485"/>
    <w:rsid w:val="00402637"/>
    <w:rsid w:val="004075C6"/>
    <w:rsid w:val="0041205E"/>
    <w:rsid w:val="00413E25"/>
    <w:rsid w:val="004158E5"/>
    <w:rsid w:val="00415C83"/>
    <w:rsid w:val="004168A9"/>
    <w:rsid w:val="00422464"/>
    <w:rsid w:val="00423E80"/>
    <w:rsid w:val="00424A7F"/>
    <w:rsid w:val="00430DA6"/>
    <w:rsid w:val="00430F5B"/>
    <w:rsid w:val="0043449F"/>
    <w:rsid w:val="004351D1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90D07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505C32"/>
    <w:rsid w:val="005067DF"/>
    <w:rsid w:val="00507791"/>
    <w:rsid w:val="0051374B"/>
    <w:rsid w:val="005146E3"/>
    <w:rsid w:val="00515D82"/>
    <w:rsid w:val="0052368F"/>
    <w:rsid w:val="00524C86"/>
    <w:rsid w:val="00535D18"/>
    <w:rsid w:val="00536CA7"/>
    <w:rsid w:val="005415FD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91217"/>
    <w:rsid w:val="00594520"/>
    <w:rsid w:val="00595BCF"/>
    <w:rsid w:val="00596C72"/>
    <w:rsid w:val="005A0271"/>
    <w:rsid w:val="005A0DB0"/>
    <w:rsid w:val="005A3325"/>
    <w:rsid w:val="005A58EF"/>
    <w:rsid w:val="005A7F48"/>
    <w:rsid w:val="005B0EC2"/>
    <w:rsid w:val="005B1066"/>
    <w:rsid w:val="005B239A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17DA"/>
    <w:rsid w:val="00602B75"/>
    <w:rsid w:val="00602D81"/>
    <w:rsid w:val="006030D3"/>
    <w:rsid w:val="0060343A"/>
    <w:rsid w:val="00603596"/>
    <w:rsid w:val="0060381A"/>
    <w:rsid w:val="00605939"/>
    <w:rsid w:val="00605C8A"/>
    <w:rsid w:val="00606942"/>
    <w:rsid w:val="00610E34"/>
    <w:rsid w:val="006117CC"/>
    <w:rsid w:val="006122B5"/>
    <w:rsid w:val="00613617"/>
    <w:rsid w:val="006143B5"/>
    <w:rsid w:val="00614601"/>
    <w:rsid w:val="00620E0C"/>
    <w:rsid w:val="00621811"/>
    <w:rsid w:val="00622B96"/>
    <w:rsid w:val="00622EDC"/>
    <w:rsid w:val="0064006D"/>
    <w:rsid w:val="006433ED"/>
    <w:rsid w:val="00647BB4"/>
    <w:rsid w:val="006512BE"/>
    <w:rsid w:val="00651835"/>
    <w:rsid w:val="00651B67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2142"/>
    <w:rsid w:val="00676D65"/>
    <w:rsid w:val="006774B0"/>
    <w:rsid w:val="00681D2D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A79D9"/>
    <w:rsid w:val="006B0212"/>
    <w:rsid w:val="006B326A"/>
    <w:rsid w:val="006C0E11"/>
    <w:rsid w:val="006D42E6"/>
    <w:rsid w:val="006D737B"/>
    <w:rsid w:val="006D78F9"/>
    <w:rsid w:val="006E013E"/>
    <w:rsid w:val="006E078F"/>
    <w:rsid w:val="006E1DDE"/>
    <w:rsid w:val="006E4654"/>
    <w:rsid w:val="006F009C"/>
    <w:rsid w:val="006F30A3"/>
    <w:rsid w:val="006F52FC"/>
    <w:rsid w:val="006F5DA9"/>
    <w:rsid w:val="00701752"/>
    <w:rsid w:val="007028F7"/>
    <w:rsid w:val="00702D5E"/>
    <w:rsid w:val="00702F5A"/>
    <w:rsid w:val="00705173"/>
    <w:rsid w:val="00706A40"/>
    <w:rsid w:val="00707674"/>
    <w:rsid w:val="0071206C"/>
    <w:rsid w:val="007134E4"/>
    <w:rsid w:val="00716622"/>
    <w:rsid w:val="007172E8"/>
    <w:rsid w:val="007173E8"/>
    <w:rsid w:val="00717C00"/>
    <w:rsid w:val="00723CF0"/>
    <w:rsid w:val="00726D65"/>
    <w:rsid w:val="00727320"/>
    <w:rsid w:val="007313DE"/>
    <w:rsid w:val="007322F3"/>
    <w:rsid w:val="00732CD2"/>
    <w:rsid w:val="007372B0"/>
    <w:rsid w:val="00740A91"/>
    <w:rsid w:val="007434A8"/>
    <w:rsid w:val="0074401E"/>
    <w:rsid w:val="007452CD"/>
    <w:rsid w:val="007458F7"/>
    <w:rsid w:val="00745AC1"/>
    <w:rsid w:val="00753CB8"/>
    <w:rsid w:val="00760AB5"/>
    <w:rsid w:val="00760CDC"/>
    <w:rsid w:val="007652FB"/>
    <w:rsid w:val="007668EE"/>
    <w:rsid w:val="007671C6"/>
    <w:rsid w:val="00770534"/>
    <w:rsid w:val="00770802"/>
    <w:rsid w:val="00771436"/>
    <w:rsid w:val="007734E1"/>
    <w:rsid w:val="00774F31"/>
    <w:rsid w:val="007751B0"/>
    <w:rsid w:val="00776102"/>
    <w:rsid w:val="00776DC0"/>
    <w:rsid w:val="00781C5B"/>
    <w:rsid w:val="00783502"/>
    <w:rsid w:val="00791922"/>
    <w:rsid w:val="007933FA"/>
    <w:rsid w:val="00793429"/>
    <w:rsid w:val="00793CAE"/>
    <w:rsid w:val="007A2CAC"/>
    <w:rsid w:val="007A4753"/>
    <w:rsid w:val="007A5139"/>
    <w:rsid w:val="007A551F"/>
    <w:rsid w:val="007A55BB"/>
    <w:rsid w:val="007A6051"/>
    <w:rsid w:val="007A6726"/>
    <w:rsid w:val="007A7871"/>
    <w:rsid w:val="007A7C55"/>
    <w:rsid w:val="007B4F5F"/>
    <w:rsid w:val="007B60E6"/>
    <w:rsid w:val="007C1538"/>
    <w:rsid w:val="007D044E"/>
    <w:rsid w:val="007D0E94"/>
    <w:rsid w:val="007D2B2A"/>
    <w:rsid w:val="007D33DE"/>
    <w:rsid w:val="007D3CE3"/>
    <w:rsid w:val="007D4424"/>
    <w:rsid w:val="007E6035"/>
    <w:rsid w:val="007E706B"/>
    <w:rsid w:val="007F022C"/>
    <w:rsid w:val="007F07AB"/>
    <w:rsid w:val="007F7616"/>
    <w:rsid w:val="00802FB7"/>
    <w:rsid w:val="008070B9"/>
    <w:rsid w:val="00807C55"/>
    <w:rsid w:val="008160A6"/>
    <w:rsid w:val="00832C80"/>
    <w:rsid w:val="008344BE"/>
    <w:rsid w:val="00834615"/>
    <w:rsid w:val="008400E8"/>
    <w:rsid w:val="00845B09"/>
    <w:rsid w:val="00846BB3"/>
    <w:rsid w:val="00852780"/>
    <w:rsid w:val="00853E1E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4ED"/>
    <w:rsid w:val="0087196E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CE"/>
    <w:rsid w:val="008931D7"/>
    <w:rsid w:val="00893534"/>
    <w:rsid w:val="008962C8"/>
    <w:rsid w:val="008A1771"/>
    <w:rsid w:val="008A7D03"/>
    <w:rsid w:val="008B02EC"/>
    <w:rsid w:val="008B6C34"/>
    <w:rsid w:val="008B713F"/>
    <w:rsid w:val="008C05C9"/>
    <w:rsid w:val="008C409D"/>
    <w:rsid w:val="008C6D51"/>
    <w:rsid w:val="008D2C6B"/>
    <w:rsid w:val="008D45A3"/>
    <w:rsid w:val="008D4EF0"/>
    <w:rsid w:val="008E051D"/>
    <w:rsid w:val="008E09D8"/>
    <w:rsid w:val="008E0AFD"/>
    <w:rsid w:val="008E2945"/>
    <w:rsid w:val="008E4DB1"/>
    <w:rsid w:val="008E5DB6"/>
    <w:rsid w:val="008E762A"/>
    <w:rsid w:val="008E76C2"/>
    <w:rsid w:val="008F225B"/>
    <w:rsid w:val="008F2ADD"/>
    <w:rsid w:val="008F5506"/>
    <w:rsid w:val="008F5B76"/>
    <w:rsid w:val="00900694"/>
    <w:rsid w:val="00901A4F"/>
    <w:rsid w:val="00901E2B"/>
    <w:rsid w:val="00904A17"/>
    <w:rsid w:val="00912AEB"/>
    <w:rsid w:val="009138D3"/>
    <w:rsid w:val="00914DDF"/>
    <w:rsid w:val="0091643E"/>
    <w:rsid w:val="00920820"/>
    <w:rsid w:val="00922E2D"/>
    <w:rsid w:val="00930317"/>
    <w:rsid w:val="0093048F"/>
    <w:rsid w:val="0093472E"/>
    <w:rsid w:val="009431A8"/>
    <w:rsid w:val="009433AE"/>
    <w:rsid w:val="00944CF3"/>
    <w:rsid w:val="00944E01"/>
    <w:rsid w:val="00947F0C"/>
    <w:rsid w:val="009506F6"/>
    <w:rsid w:val="0095452C"/>
    <w:rsid w:val="00954DA7"/>
    <w:rsid w:val="00957718"/>
    <w:rsid w:val="00960634"/>
    <w:rsid w:val="009636F7"/>
    <w:rsid w:val="00964BEF"/>
    <w:rsid w:val="00967B7E"/>
    <w:rsid w:val="009711F9"/>
    <w:rsid w:val="00971D60"/>
    <w:rsid w:val="009739AB"/>
    <w:rsid w:val="00974C95"/>
    <w:rsid w:val="00974EAD"/>
    <w:rsid w:val="00976688"/>
    <w:rsid w:val="00976D5C"/>
    <w:rsid w:val="00976FAF"/>
    <w:rsid w:val="00981F88"/>
    <w:rsid w:val="00983508"/>
    <w:rsid w:val="00983BB3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83D"/>
    <w:rsid w:val="009F3DF3"/>
    <w:rsid w:val="009F5532"/>
    <w:rsid w:val="009F7F29"/>
    <w:rsid w:val="00A057E9"/>
    <w:rsid w:val="00A06BF6"/>
    <w:rsid w:val="00A13194"/>
    <w:rsid w:val="00A156C3"/>
    <w:rsid w:val="00A21CF7"/>
    <w:rsid w:val="00A244C6"/>
    <w:rsid w:val="00A24A92"/>
    <w:rsid w:val="00A26ED1"/>
    <w:rsid w:val="00A32A8F"/>
    <w:rsid w:val="00A342D1"/>
    <w:rsid w:val="00A353BD"/>
    <w:rsid w:val="00A3725A"/>
    <w:rsid w:val="00A41502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53D3"/>
    <w:rsid w:val="00A77328"/>
    <w:rsid w:val="00A80A01"/>
    <w:rsid w:val="00A811E5"/>
    <w:rsid w:val="00A81639"/>
    <w:rsid w:val="00A85A3E"/>
    <w:rsid w:val="00A86212"/>
    <w:rsid w:val="00A90429"/>
    <w:rsid w:val="00A9119D"/>
    <w:rsid w:val="00A950DA"/>
    <w:rsid w:val="00A96370"/>
    <w:rsid w:val="00A96F03"/>
    <w:rsid w:val="00A977CE"/>
    <w:rsid w:val="00AA3760"/>
    <w:rsid w:val="00AA407E"/>
    <w:rsid w:val="00AA69CD"/>
    <w:rsid w:val="00AA769C"/>
    <w:rsid w:val="00AB1367"/>
    <w:rsid w:val="00AB28F9"/>
    <w:rsid w:val="00AB3A41"/>
    <w:rsid w:val="00AC2E70"/>
    <w:rsid w:val="00AC4596"/>
    <w:rsid w:val="00AC4AA9"/>
    <w:rsid w:val="00AC58E9"/>
    <w:rsid w:val="00AC6D19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4B8D"/>
    <w:rsid w:val="00AE6091"/>
    <w:rsid w:val="00AE7141"/>
    <w:rsid w:val="00AE74B2"/>
    <w:rsid w:val="00AE77DE"/>
    <w:rsid w:val="00AE7D9A"/>
    <w:rsid w:val="00AF059C"/>
    <w:rsid w:val="00AF1ABA"/>
    <w:rsid w:val="00AF4693"/>
    <w:rsid w:val="00AF699E"/>
    <w:rsid w:val="00B00470"/>
    <w:rsid w:val="00B00BEB"/>
    <w:rsid w:val="00B02101"/>
    <w:rsid w:val="00B04AD6"/>
    <w:rsid w:val="00B11D2C"/>
    <w:rsid w:val="00B15B99"/>
    <w:rsid w:val="00B1630E"/>
    <w:rsid w:val="00B17AE9"/>
    <w:rsid w:val="00B21782"/>
    <w:rsid w:val="00B2188D"/>
    <w:rsid w:val="00B26FC2"/>
    <w:rsid w:val="00B30234"/>
    <w:rsid w:val="00B34C79"/>
    <w:rsid w:val="00B3714C"/>
    <w:rsid w:val="00B4650C"/>
    <w:rsid w:val="00B47515"/>
    <w:rsid w:val="00B5108F"/>
    <w:rsid w:val="00B5134A"/>
    <w:rsid w:val="00B5439C"/>
    <w:rsid w:val="00B61782"/>
    <w:rsid w:val="00B64A6D"/>
    <w:rsid w:val="00B74400"/>
    <w:rsid w:val="00B76089"/>
    <w:rsid w:val="00B83205"/>
    <w:rsid w:val="00B86E20"/>
    <w:rsid w:val="00B90D92"/>
    <w:rsid w:val="00B94308"/>
    <w:rsid w:val="00BB69C3"/>
    <w:rsid w:val="00BB7FAC"/>
    <w:rsid w:val="00BC7FC6"/>
    <w:rsid w:val="00BD07D6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66D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A16"/>
    <w:rsid w:val="00C31B10"/>
    <w:rsid w:val="00C351FD"/>
    <w:rsid w:val="00C36892"/>
    <w:rsid w:val="00C37DE8"/>
    <w:rsid w:val="00C4339B"/>
    <w:rsid w:val="00C45D6F"/>
    <w:rsid w:val="00C47096"/>
    <w:rsid w:val="00C47484"/>
    <w:rsid w:val="00C53E75"/>
    <w:rsid w:val="00C543FB"/>
    <w:rsid w:val="00C54F55"/>
    <w:rsid w:val="00C55146"/>
    <w:rsid w:val="00C552CC"/>
    <w:rsid w:val="00C55E56"/>
    <w:rsid w:val="00C56A91"/>
    <w:rsid w:val="00C56F9A"/>
    <w:rsid w:val="00C70B4A"/>
    <w:rsid w:val="00C802FD"/>
    <w:rsid w:val="00C82778"/>
    <w:rsid w:val="00C85559"/>
    <w:rsid w:val="00C93107"/>
    <w:rsid w:val="00C96EBC"/>
    <w:rsid w:val="00CA16A9"/>
    <w:rsid w:val="00CA7B1D"/>
    <w:rsid w:val="00CB1C14"/>
    <w:rsid w:val="00CB4504"/>
    <w:rsid w:val="00CB5B77"/>
    <w:rsid w:val="00CB6AFC"/>
    <w:rsid w:val="00CC3253"/>
    <w:rsid w:val="00CC5C16"/>
    <w:rsid w:val="00CC624F"/>
    <w:rsid w:val="00CC64DA"/>
    <w:rsid w:val="00CD1C0C"/>
    <w:rsid w:val="00CD4675"/>
    <w:rsid w:val="00CD6C52"/>
    <w:rsid w:val="00CD748A"/>
    <w:rsid w:val="00CE0DCB"/>
    <w:rsid w:val="00CE59E6"/>
    <w:rsid w:val="00CE5CEA"/>
    <w:rsid w:val="00CE715D"/>
    <w:rsid w:val="00CF112E"/>
    <w:rsid w:val="00CF154A"/>
    <w:rsid w:val="00CF6233"/>
    <w:rsid w:val="00CF7C89"/>
    <w:rsid w:val="00CF7F0E"/>
    <w:rsid w:val="00D01BBA"/>
    <w:rsid w:val="00D05B11"/>
    <w:rsid w:val="00D067CD"/>
    <w:rsid w:val="00D07169"/>
    <w:rsid w:val="00D07A70"/>
    <w:rsid w:val="00D10813"/>
    <w:rsid w:val="00D119B6"/>
    <w:rsid w:val="00D11D14"/>
    <w:rsid w:val="00D13C35"/>
    <w:rsid w:val="00D14342"/>
    <w:rsid w:val="00D15B8F"/>
    <w:rsid w:val="00D17083"/>
    <w:rsid w:val="00D22023"/>
    <w:rsid w:val="00D22821"/>
    <w:rsid w:val="00D24D1F"/>
    <w:rsid w:val="00D26546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55CD"/>
    <w:rsid w:val="00D5591B"/>
    <w:rsid w:val="00D567DA"/>
    <w:rsid w:val="00D56D28"/>
    <w:rsid w:val="00D61843"/>
    <w:rsid w:val="00D62B1E"/>
    <w:rsid w:val="00D631A1"/>
    <w:rsid w:val="00D66862"/>
    <w:rsid w:val="00D7001F"/>
    <w:rsid w:val="00D703F6"/>
    <w:rsid w:val="00D7135F"/>
    <w:rsid w:val="00D81901"/>
    <w:rsid w:val="00D8209F"/>
    <w:rsid w:val="00D85B28"/>
    <w:rsid w:val="00D90032"/>
    <w:rsid w:val="00D902AE"/>
    <w:rsid w:val="00D92731"/>
    <w:rsid w:val="00D92A3A"/>
    <w:rsid w:val="00DA0121"/>
    <w:rsid w:val="00DA0162"/>
    <w:rsid w:val="00DA01D7"/>
    <w:rsid w:val="00DA1676"/>
    <w:rsid w:val="00DA195F"/>
    <w:rsid w:val="00DA2161"/>
    <w:rsid w:val="00DA3FB4"/>
    <w:rsid w:val="00DA52D0"/>
    <w:rsid w:val="00DA6E66"/>
    <w:rsid w:val="00DB1264"/>
    <w:rsid w:val="00DB32C5"/>
    <w:rsid w:val="00DB3F3B"/>
    <w:rsid w:val="00DB6165"/>
    <w:rsid w:val="00DC09C9"/>
    <w:rsid w:val="00DC316A"/>
    <w:rsid w:val="00DC7EA7"/>
    <w:rsid w:val="00DD1A0F"/>
    <w:rsid w:val="00DD3A8B"/>
    <w:rsid w:val="00DD4D61"/>
    <w:rsid w:val="00DD7296"/>
    <w:rsid w:val="00DD7AE9"/>
    <w:rsid w:val="00DD7AFD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79EC"/>
    <w:rsid w:val="00E1014D"/>
    <w:rsid w:val="00E102A7"/>
    <w:rsid w:val="00E103E9"/>
    <w:rsid w:val="00E14A34"/>
    <w:rsid w:val="00E14FC7"/>
    <w:rsid w:val="00E1556F"/>
    <w:rsid w:val="00E236F8"/>
    <w:rsid w:val="00E24103"/>
    <w:rsid w:val="00E24F9A"/>
    <w:rsid w:val="00E30B30"/>
    <w:rsid w:val="00E3303C"/>
    <w:rsid w:val="00E33C2F"/>
    <w:rsid w:val="00E362DD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66A12"/>
    <w:rsid w:val="00E71882"/>
    <w:rsid w:val="00E74EB4"/>
    <w:rsid w:val="00E8404E"/>
    <w:rsid w:val="00E87C04"/>
    <w:rsid w:val="00E91545"/>
    <w:rsid w:val="00E919A6"/>
    <w:rsid w:val="00E91A63"/>
    <w:rsid w:val="00E9395A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4D78"/>
    <w:rsid w:val="00EC502A"/>
    <w:rsid w:val="00EC5594"/>
    <w:rsid w:val="00ED08DA"/>
    <w:rsid w:val="00ED31E1"/>
    <w:rsid w:val="00ED3A46"/>
    <w:rsid w:val="00ED4894"/>
    <w:rsid w:val="00ED59B4"/>
    <w:rsid w:val="00ED7985"/>
    <w:rsid w:val="00EE080B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3A12"/>
    <w:rsid w:val="00EF4AAF"/>
    <w:rsid w:val="00F008AA"/>
    <w:rsid w:val="00F00F1F"/>
    <w:rsid w:val="00F04B83"/>
    <w:rsid w:val="00F06131"/>
    <w:rsid w:val="00F07C24"/>
    <w:rsid w:val="00F11A09"/>
    <w:rsid w:val="00F14D07"/>
    <w:rsid w:val="00F1762F"/>
    <w:rsid w:val="00F2285D"/>
    <w:rsid w:val="00F26562"/>
    <w:rsid w:val="00F278BB"/>
    <w:rsid w:val="00F31B4B"/>
    <w:rsid w:val="00F32625"/>
    <w:rsid w:val="00F328FE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91530"/>
    <w:rsid w:val="00F9289B"/>
    <w:rsid w:val="00F9634D"/>
    <w:rsid w:val="00FA2CC8"/>
    <w:rsid w:val="00FA78AA"/>
    <w:rsid w:val="00FB0138"/>
    <w:rsid w:val="00FB0AE6"/>
    <w:rsid w:val="00FB10ED"/>
    <w:rsid w:val="00FB4C3E"/>
    <w:rsid w:val="00FB77F0"/>
    <w:rsid w:val="00FB7C72"/>
    <w:rsid w:val="00FC56E4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1177"/>
    <w:rsid w:val="00FF3DAC"/>
    <w:rsid w:val="00FF56DF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447C"/>
    <w:rPr>
      <w:rFonts w:ascii="Arial" w:hAnsi="Arial" w:cs="Times New Roman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9447C"/>
    <w:rPr>
      <w:rFonts w:ascii="Arial" w:hAnsi="Arial" w:cs="Times New Roman"/>
      <w:b/>
      <w:color w:val="00CCFF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99"/>
    <w:semiHidden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rsid w:val="005646B3"/>
    <w:rPr>
      <w:rFonts w:cs="Times New Roman"/>
      <w:color w:val="000000"/>
    </w:rPr>
  </w:style>
  <w:style w:type="paragraph" w:styleId="Spistreci1">
    <w:name w:val="toc 1"/>
    <w:basedOn w:val="Default"/>
    <w:next w:val="Default"/>
    <w:autoRedefine/>
    <w:uiPriority w:val="99"/>
    <w:semiHidden/>
    <w:rsid w:val="005646B3"/>
    <w:rPr>
      <w:rFonts w:cs="Times New Roman"/>
      <w:color w:val="auto"/>
    </w:rPr>
  </w:style>
  <w:style w:type="character" w:styleId="Odwoanieprzypisudolnego">
    <w:name w:val="footnote reference"/>
    <w:basedOn w:val="Domylnaczcionkaakapitu"/>
    <w:uiPriority w:val="99"/>
    <w:semiHidden/>
    <w:rsid w:val="005646B3"/>
    <w:rPr>
      <w:rFonts w:cs="Times New Roman"/>
      <w:color w:val="000000"/>
    </w:rPr>
  </w:style>
  <w:style w:type="paragraph" w:styleId="Tekstpodstawowywcity3">
    <w:name w:val="Body Text Indent 3"/>
    <w:basedOn w:val="Default"/>
    <w:next w:val="Default"/>
    <w:link w:val="Tekstpodstawowywcity3Znak"/>
    <w:uiPriority w:val="99"/>
    <w:rsid w:val="005646B3"/>
    <w:pPr>
      <w:spacing w:before="60" w:after="60"/>
    </w:pPr>
    <w:rPr>
      <w:rFonts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66A12"/>
    <w:rPr>
      <w:rFonts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64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6A12"/>
    <w:rPr>
      <w:rFonts w:cs="Times New Roman"/>
      <w:sz w:val="2"/>
      <w:lang w:val="en-US" w:eastAsia="en-US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447C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447C"/>
    <w:rPr>
      <w:rFonts w:cs="Times New Roman"/>
      <w:sz w:val="24"/>
      <w:szCs w:val="24"/>
      <w:lang w:val="en-US" w:eastAsia="en-US"/>
    </w:rPr>
  </w:style>
  <w:style w:type="character" w:styleId="Numerstrony">
    <w:name w:val="page number"/>
    <w:basedOn w:val="Domylnaczcionkaakapitu"/>
    <w:uiPriority w:val="99"/>
    <w:rsid w:val="004634E3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B1FA8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9447C"/>
    <w:rPr>
      <w:rFonts w:cs="Times New Roman"/>
      <w:lang w:val="en-US" w:eastAsia="en-US"/>
    </w:rPr>
  </w:style>
  <w:style w:type="character" w:customStyle="1" w:styleId="StyleFootnoteReferenceArial10pt">
    <w:name w:val="Style Footnote Reference + Arial 10 pt"/>
    <w:basedOn w:val="Odwoanieprzypisudolnego"/>
    <w:uiPriority w:val="99"/>
    <w:rsid w:val="00302714"/>
    <w:rPr>
      <w:rFonts w:ascii="Arial" w:hAnsi="Arial" w:cs="Arial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Operational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Operational manual</Template>
  <TotalTime>1</TotalTime>
  <Pages>9</Pages>
  <Words>2877</Words>
  <Characters>17265</Characters>
  <Application>Microsoft Office Word</Application>
  <DocSecurity>0</DocSecurity>
  <Lines>143</Lines>
  <Paragraphs>40</Paragraphs>
  <ScaleCrop>false</ScaleCrop>
  <Company>PRACSIS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EUROPEJSKIE NAGRODY PROMOCJI PRZEDSIĘBIORCZOŚCI</dc:title>
  <dc:creator>Ted &amp; Clare</dc:creator>
  <cp:lastModifiedBy>ewakus</cp:lastModifiedBy>
  <cp:revision>2</cp:revision>
  <cp:lastPrinted>2012-04-16T09:36:00Z</cp:lastPrinted>
  <dcterms:created xsi:type="dcterms:W3CDTF">2012-04-18T07:09:00Z</dcterms:created>
  <dcterms:modified xsi:type="dcterms:W3CDTF">2012-04-18T07:09:00Z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