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A6" w:rsidRPr="00AA71B0" w:rsidRDefault="00E634A6" w:rsidP="00CA7369">
      <w:pPr>
        <w:spacing w:after="240"/>
        <w:jc w:val="left"/>
        <w:rPr>
          <w:b/>
          <w:sz w:val="24"/>
        </w:rPr>
      </w:pPr>
      <w:r w:rsidRPr="00AA71B0">
        <w:rPr>
          <w:b/>
          <w:sz w:val="24"/>
        </w:rPr>
        <w:t>Targi Innowacji i Przedsiębiorczości oraz towarzyszące im Spotkania Kooperacyjne dla lokatorów Instytucji Otoczenia Biznesu i klastrów</w:t>
      </w:r>
    </w:p>
    <w:p w:rsidR="00E634A6" w:rsidRPr="00950F16" w:rsidRDefault="00E634A6" w:rsidP="000B5181">
      <w:pPr>
        <w:rPr>
          <w:b/>
        </w:rPr>
      </w:pPr>
      <w:r w:rsidRPr="00950F16">
        <w:rPr>
          <w:b/>
        </w:rPr>
        <w:t>Już 24 kwietnia</w:t>
      </w:r>
      <w:r>
        <w:rPr>
          <w:b/>
        </w:rPr>
        <w:t xml:space="preserve"> br.</w:t>
      </w:r>
      <w:r w:rsidRPr="00950F16">
        <w:rPr>
          <w:b/>
        </w:rPr>
        <w:t xml:space="preserve"> rozpoczną się pierwsze Targi Innowacji i Przedsiębiorczości 4 FUTURE oraz Spotkania Kooperacyjne firm-lokatorów</w:t>
      </w:r>
      <w:r>
        <w:rPr>
          <w:b/>
        </w:rPr>
        <w:t xml:space="preserve"> i klastrów</w:t>
      </w:r>
      <w:r w:rsidRPr="00950F16">
        <w:rPr>
          <w:b/>
        </w:rPr>
        <w:t xml:space="preserve"> w Łódzkim Regionalnym Parku Naukowo-Technologicznym. W ciągu dwóch dni odbędą się dwie impr</w:t>
      </w:r>
      <w:r>
        <w:rPr>
          <w:b/>
        </w:rPr>
        <w:t>ezy, na których lokatorzy IOB i </w:t>
      </w:r>
      <w:r w:rsidRPr="00950F16">
        <w:rPr>
          <w:b/>
        </w:rPr>
        <w:t>członkowie klastrów</w:t>
      </w:r>
      <w:r>
        <w:rPr>
          <w:b/>
        </w:rPr>
        <w:t xml:space="preserve"> z całej Polski</w:t>
      </w:r>
      <w:r w:rsidRPr="00950F16">
        <w:rPr>
          <w:b/>
        </w:rPr>
        <w:t xml:space="preserve"> b</w:t>
      </w:r>
      <w:r>
        <w:rPr>
          <w:b/>
        </w:rPr>
        <w:t>ędą mieli okazję zapoznać się z </w:t>
      </w:r>
      <w:r w:rsidRPr="00950F16">
        <w:rPr>
          <w:b/>
        </w:rPr>
        <w:t>działalnością podobnych do siebie firm oraz zaprezentować swoją ofertę przed szeroką publicznością.</w:t>
      </w:r>
    </w:p>
    <w:p w:rsidR="00E634A6" w:rsidRPr="00950F16" w:rsidRDefault="00E634A6" w:rsidP="000B5181">
      <w:r w:rsidRPr="00950F16">
        <w:t xml:space="preserve">Targi są bardzo dobrze znaną formułą uznawaną za ważną ze względu na korzyści jakie przynosi. Postrzegane są przede wszystkim jako ważna platforma komunikacyjna - to na nich prezentowane są flagowe czy nowe produkty i usługi, to na nich oceniany jest </w:t>
      </w:r>
      <w:r>
        <w:t xml:space="preserve">też </w:t>
      </w:r>
      <w:r w:rsidRPr="00950F16">
        <w:t xml:space="preserve">popyt i podaż, a także ujawniają się trendy rynkowe. Wyjątkowość imprezy 4 FUTURE polega na tym, że wystawcami będą tu tylko </w:t>
      </w:r>
      <w:r>
        <w:t>i </w:t>
      </w:r>
      <w:r w:rsidRPr="00950F16">
        <w:t xml:space="preserve">wyłącznie firmy, które swoje siedziby mają w ośrodkach innowacji i przedsiębiorczości – parkach nauki, technologicznych </w:t>
      </w:r>
      <w:r>
        <w:t>czy</w:t>
      </w:r>
      <w:r w:rsidRPr="00950F16">
        <w:t xml:space="preserve"> inkubatorach oraz członkowie klastrów. Zatem to unikatowa okazja do tego, aby zobaczyć osiągnięcia firm w nowoczesnych technologiach</w:t>
      </w:r>
      <w:r>
        <w:t xml:space="preserve"> i usługach</w:t>
      </w:r>
      <w:r w:rsidRPr="00950F16">
        <w:t xml:space="preserve"> – od części do maszyn, przez komponenty kosmetyczne i produ</w:t>
      </w:r>
      <w:r>
        <w:t xml:space="preserve">kcje interaktywne po </w:t>
      </w:r>
      <w:r w:rsidRPr="00950F16">
        <w:t xml:space="preserve">usługi </w:t>
      </w:r>
      <w:r>
        <w:t xml:space="preserve">elektroniczne czy </w:t>
      </w:r>
      <w:r w:rsidRPr="00950F16">
        <w:t>wspomagające</w:t>
      </w:r>
      <w:r>
        <w:t xml:space="preserve"> </w:t>
      </w:r>
      <w:r w:rsidRPr="00950F16">
        <w:t xml:space="preserve">zarządzanie przedsiębiorstwem. Organizatorzy nie tylko udostępniają powierzchnię wystawienniczą </w:t>
      </w:r>
      <w:r>
        <w:t>ze stoiskami</w:t>
      </w:r>
      <w:r w:rsidRPr="00950F16">
        <w:t>, ale również dla potrzeb ekspozycji produktów czy prezentacji multimedialnych</w:t>
      </w:r>
      <w:r>
        <w:t xml:space="preserve"> wystawców</w:t>
      </w:r>
      <w:r w:rsidRPr="00950F16">
        <w:t>.</w:t>
      </w:r>
    </w:p>
    <w:p w:rsidR="00E634A6" w:rsidRPr="00950F16" w:rsidRDefault="00E634A6" w:rsidP="000B5181">
      <w:r>
        <w:t xml:space="preserve">- Na targach zobaczymy wycinek innowacyjnej gospodarki. Wystawiać się tu będą firmy działające w parkach, inkubatorach czy klastrach z całego kraju, które często mają w swojej ofercie bardzo nowatorskie produkty lub usługi </w:t>
      </w:r>
      <w:r w:rsidRPr="00950F16">
        <w:t xml:space="preserve">– mówi </w:t>
      </w:r>
      <w:r>
        <w:t>profesor Edward Chlebus</w:t>
      </w:r>
      <w:r w:rsidRPr="00950F16">
        <w:t xml:space="preserve">, </w:t>
      </w:r>
      <w:r>
        <w:t>prezes</w:t>
      </w:r>
      <w:r w:rsidRPr="00950F16">
        <w:t xml:space="preserve"> Dolnośląskiego Parku Innowacji i Nauki, który organizuje targi.</w:t>
      </w:r>
    </w:p>
    <w:p w:rsidR="00E634A6" w:rsidRPr="00950F16" w:rsidRDefault="00E634A6" w:rsidP="000B5181">
      <w:r w:rsidRPr="00950F16">
        <w:t>Targi będą trwały dwa dni i będą imprezą otwartą, niebiletowaną. Do odwiedzenia targów organizatorzy zapraszają wszystkich tych, którzy interesują się innowacjami i tych, którzy zastanawiają się nad rozpoczęciem lub rozwijaniem działalności w ramach parku lub inkubatora. Specjalne zaproszenia kierowane anioł</w:t>
      </w:r>
      <w:r>
        <w:t>ów</w:t>
      </w:r>
      <w:r w:rsidRPr="00950F16">
        <w:t xml:space="preserve"> biznesu, przedstawiciel</w:t>
      </w:r>
      <w:r>
        <w:t>i</w:t>
      </w:r>
      <w:r w:rsidRPr="00950F16">
        <w:t xml:space="preserve"> venture capital, przedsiębiorc</w:t>
      </w:r>
      <w:r>
        <w:t>ów</w:t>
      </w:r>
      <w:r w:rsidRPr="00950F16">
        <w:t>,</w:t>
      </w:r>
      <w:r>
        <w:t xml:space="preserve"> </w:t>
      </w:r>
      <w:r w:rsidRPr="00950F16">
        <w:t>ośrod</w:t>
      </w:r>
      <w:r>
        <w:t>ków B+R, studentów</w:t>
      </w:r>
      <w:r w:rsidRPr="00950F16">
        <w:t xml:space="preserve"> oraz środowisk o</w:t>
      </w:r>
      <w:r>
        <w:t>piniotwórczych - przedstawicieli</w:t>
      </w:r>
      <w:r w:rsidRPr="00950F16">
        <w:t xml:space="preserve"> władz, środowiska naukowego i mediów.</w:t>
      </w:r>
    </w:p>
    <w:p w:rsidR="00E634A6" w:rsidRDefault="00E634A6" w:rsidP="00AA71B0">
      <w:r>
        <w:t>W</w:t>
      </w:r>
      <w:r w:rsidRPr="00950F16">
        <w:t xml:space="preserve"> tym samym czasie co targi 4 FUTURE </w:t>
      </w:r>
      <w:r>
        <w:t>odbywać się będą</w:t>
      </w:r>
      <w:r w:rsidRPr="00950F16">
        <w:t xml:space="preserve"> spotkania kooperacyjne</w:t>
      </w:r>
      <w:r>
        <w:t xml:space="preserve"> z warsztatami merytorycznymi</w:t>
      </w:r>
      <w:r w:rsidRPr="00950F16">
        <w:t>. Jest to impreza zamknięta, dostępna tylko dla przedstawicieli firm ulok</w:t>
      </w:r>
      <w:r>
        <w:t>owanych w ośrodkach innowacji i </w:t>
      </w:r>
      <w:r w:rsidRPr="00950F16">
        <w:t xml:space="preserve">przedsiębiorczości oraz klastrowiczów. </w:t>
      </w:r>
    </w:p>
    <w:p w:rsidR="00E634A6" w:rsidRDefault="00E634A6" w:rsidP="000B5181">
      <w:r>
        <w:t>Pierwszego dnia – 24 kwietnia,</w:t>
      </w:r>
      <w:r w:rsidRPr="00950F16">
        <w:t xml:space="preserve"> uczestnicy spotkań będą mogli wziąć udzia</w:t>
      </w:r>
      <w:r>
        <w:t xml:space="preserve">ł w warsztatach merytorycznych z takich tematów jak </w:t>
      </w:r>
      <w:r w:rsidRPr="00950F16">
        <w:t>transfer technologii, własność intelektualna, finansowanie inwestycji, rynek usług ICT, OZE, klastering, dobre praktyki dotyczące współpracy B+R i inne. Dokonując rejestracji on line można wybrać</w:t>
      </w:r>
      <w:r>
        <w:t xml:space="preserve"> interesujący temat warsztatu i </w:t>
      </w:r>
      <w:r w:rsidRPr="00950F16">
        <w:t xml:space="preserve">wziąć w nich udział. </w:t>
      </w:r>
      <w:r>
        <w:t xml:space="preserve">Drugiego dnia odbędą się spotkania kooperacyjne, które są dość nową formułą, </w:t>
      </w:r>
      <w:r w:rsidRPr="00950F16">
        <w:t>słabo r</w:t>
      </w:r>
      <w:r>
        <w:t>ozpropagowaną w Polsce. W </w:t>
      </w:r>
      <w:r w:rsidRPr="00950F16">
        <w:t>krajach Europy Zachodniej jest bardzo wysoko ceniona, jako ta która otwiera drzwi do rozległej sieci kontaktów biznesowych</w:t>
      </w:r>
      <w:r>
        <w:t xml:space="preserve"> i </w:t>
      </w:r>
      <w:r w:rsidRPr="00950F16">
        <w:t xml:space="preserve">bardzo skuteczny sposób na szukanie profesjonalnych partnerów, klientów czy dostawców. </w:t>
      </w:r>
      <w:r>
        <w:t xml:space="preserve">Przebiegają według schematu: rejestracja (najczęściej on line), wybór partnerów </w:t>
      </w:r>
      <w:r w:rsidRPr="00950F16">
        <w:t xml:space="preserve">z listy partnerów do spotkania lub </w:t>
      </w:r>
      <w:r>
        <w:t>przyjęcie</w:t>
      </w:r>
      <w:r w:rsidRPr="00950F16">
        <w:t xml:space="preserve"> zaproszenia innych uczestników</w:t>
      </w:r>
      <w:r>
        <w:t>, następnie same spotkania – rozmowy po dwóch partnerów przy jednym stole. Jedna tura rozmów trwa zwykle ok. 20 minut i takich zmian jest kilka. W czasie rozmowy strony</w:t>
      </w:r>
      <w:r w:rsidRPr="00950F16">
        <w:t xml:space="preserve"> mają okazję przedstawić rozmówcy nie tylko swoją firmę, ale również oczekiwania co do zakresu ewentualnej współpracy. Zdarza się, że podczas tego typu spotkań firmy szukają</w:t>
      </w:r>
      <w:r>
        <w:t xml:space="preserve"> usług komplementarnych,</w:t>
      </w:r>
      <w:r w:rsidRPr="00950F16">
        <w:t xml:space="preserve"> specjalistycznych laboratoriów do realizacji badań, komponentów na zamówienie, wykonawcy pojedynczego egzemplarza maszyny, parterów do realizacji badań w ramach projektów unijnych itp. - wachlarz możliwości jest w zasadzie niewyczerpany. </w:t>
      </w:r>
    </w:p>
    <w:p w:rsidR="00E634A6" w:rsidRDefault="00E634A6" w:rsidP="000B5181">
      <w:r w:rsidRPr="00950F16">
        <w:t>Każdy uczestnik takiego spotkania dostaje wcześniej mailowe powiadomienie oraz osobisty plan spotkań.</w:t>
      </w:r>
    </w:p>
    <w:p w:rsidR="00E634A6" w:rsidRDefault="00E634A6" w:rsidP="000B5181">
      <w:r w:rsidRPr="00950F16">
        <w:t>Imprezy organizowane są w ramach projektu Forum Parków Naukowych i Technologicznych z Programu Operacyjnego Kapitał Ludzki</w:t>
      </w:r>
      <w:r>
        <w:t xml:space="preserve"> realizowanego przez Dolnośląski Park Innowacji i Nauki, </w:t>
      </w:r>
      <w:r w:rsidRPr="00BE4D5F">
        <w:t>Stowarzyszenie Organizatorów Ośrodków Innowacji i Przedsiębiorczości w Polsce</w:t>
      </w:r>
      <w:r>
        <w:t xml:space="preserve"> oraz Województwo Dolnośląskie</w:t>
      </w:r>
      <w:r w:rsidRPr="00950F16">
        <w:t xml:space="preserve">. Udział w nich jest bezpłatny, uczestnicy pokrywają jedynie koszt dojazdu oraz noclegu. </w:t>
      </w:r>
      <w:r w:rsidRPr="00950F16">
        <w:rPr>
          <w:lang w:eastAsia="pl-PL"/>
        </w:rPr>
        <w:t xml:space="preserve">Jednocześnie koszt udziału w </w:t>
      </w:r>
      <w:r>
        <w:t>targach i </w:t>
      </w:r>
      <w:r w:rsidRPr="00950F16">
        <w:t xml:space="preserve">spotkaniach kooperacyjnych stanowią dla przedsiębiorcy pomoc de minimis. </w:t>
      </w:r>
    </w:p>
    <w:p w:rsidR="00E634A6" w:rsidRDefault="00E634A6" w:rsidP="000B205F">
      <w:pPr>
        <w:pBdr>
          <w:top w:val="single" w:sz="4" w:space="1" w:color="E36C0A"/>
        </w:pBdr>
        <w:rPr>
          <w:color w:val="E36C0A"/>
          <w:sz w:val="18"/>
        </w:rPr>
      </w:pPr>
    </w:p>
    <w:p w:rsidR="00E634A6" w:rsidRDefault="00E634A6" w:rsidP="000B205F">
      <w:pPr>
        <w:pBdr>
          <w:top w:val="single" w:sz="4" w:space="1" w:color="E36C0A"/>
        </w:pBdr>
        <w:rPr>
          <w:color w:val="E36C0A"/>
          <w:sz w:val="18"/>
        </w:rPr>
      </w:pPr>
    </w:p>
    <w:p w:rsidR="00E634A6" w:rsidRDefault="00E634A6" w:rsidP="000B205F">
      <w:pPr>
        <w:pBdr>
          <w:top w:val="single" w:sz="4" w:space="1" w:color="E36C0A"/>
        </w:pBdr>
        <w:rPr>
          <w:color w:val="E36C0A"/>
          <w:sz w:val="18"/>
        </w:rPr>
      </w:pPr>
    </w:p>
    <w:p w:rsidR="00E634A6" w:rsidRPr="00AA71B0" w:rsidRDefault="00E634A6" w:rsidP="000B205F">
      <w:pPr>
        <w:pBdr>
          <w:top w:val="single" w:sz="4" w:space="1" w:color="E36C0A"/>
        </w:pBdr>
        <w:rPr>
          <w:color w:val="E36C0A"/>
          <w:sz w:val="18"/>
        </w:rPr>
      </w:pPr>
    </w:p>
    <w:p w:rsidR="00E634A6" w:rsidRDefault="00E634A6" w:rsidP="000B5181">
      <w:pPr>
        <w:spacing w:line="288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E634A6" w:rsidRPr="00950F16" w:rsidRDefault="00E634A6" w:rsidP="000B5181">
      <w:pPr>
        <w:pBdr>
          <w:bottom w:val="single" w:sz="4" w:space="1" w:color="auto"/>
        </w:pBdr>
        <w:spacing w:line="240" w:lineRule="auto"/>
        <w:rPr>
          <w:b/>
          <w:sz w:val="24"/>
        </w:rPr>
      </w:pPr>
      <w:r>
        <w:rPr>
          <w:b/>
          <w:sz w:val="24"/>
        </w:rPr>
        <w:t>SZCZEGÓŁOWY HARMONIGRAM TARGÓW I SPOTKAŃ W ŁODZI</w:t>
      </w:r>
    </w:p>
    <w:tbl>
      <w:tblPr>
        <w:tblW w:w="9384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219"/>
        <w:gridCol w:w="1205"/>
        <w:gridCol w:w="1475"/>
        <w:gridCol w:w="5485"/>
      </w:tblGrid>
      <w:tr w:rsidR="00E634A6" w:rsidRPr="003763B6" w:rsidTr="00AA71B0">
        <w:trPr>
          <w:trHeight w:val="188"/>
        </w:trPr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6600"/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  <w:t>24.04.2013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10.00-12.00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Rozstawianie się firm na standardowych stoiskach targowych</w:t>
            </w:r>
          </w:p>
        </w:tc>
      </w:tr>
      <w:tr w:rsidR="00E634A6" w:rsidRPr="003763B6" w:rsidTr="00AA71B0">
        <w:trPr>
          <w:trHeight w:val="188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 xml:space="preserve">11:30-12.00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Rejestracja i przerwa kawowa</w:t>
            </w:r>
          </w:p>
        </w:tc>
      </w:tr>
      <w:tr w:rsidR="00E634A6" w:rsidRPr="003763B6" w:rsidTr="00AA71B0">
        <w:trPr>
          <w:trHeight w:val="188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12:00 - 12:15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Powitanie i przedstawienie informacji o projekcie</w:t>
            </w:r>
          </w:p>
        </w:tc>
      </w:tr>
      <w:tr w:rsidR="00E634A6" w:rsidRPr="003763B6" w:rsidTr="00AA71B0">
        <w:trPr>
          <w:trHeight w:val="376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12:15-13:30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12:15-18:00</w:t>
            </w: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br/>
              <w:t xml:space="preserve">Targi Innowacji </w:t>
            </w: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br/>
              <w:t xml:space="preserve">i Przedsiębiorczości </w:t>
            </w: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br/>
              <w:t>4 Future</w:t>
            </w: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br/>
              <w:t>sala 0.14 i 0.16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 xml:space="preserve">Warsztat 1 - Transfer technologii, własność intelektualna i jej ochrona i wykorzystanie w działalności gospodarczej </w:t>
            </w:r>
          </w:p>
        </w:tc>
      </w:tr>
      <w:tr w:rsidR="00E634A6" w:rsidRPr="003763B6" w:rsidTr="00AA71B0">
        <w:trPr>
          <w:trHeight w:val="188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13:30-14:30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Przerwa - lunch</w:t>
            </w:r>
          </w:p>
        </w:tc>
      </w:tr>
      <w:tr w:rsidR="00E634A6" w:rsidRPr="003763B6" w:rsidTr="00AA71B0">
        <w:trPr>
          <w:trHeight w:val="565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14:30-15:30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Warsztat 2 - Współpraca się opłaca – klastry, współpraca B+R z przedsiębiorcami, przedstawienie doświadczeń projekty SMART FRAME dot. współpracy B+R</w:t>
            </w:r>
          </w:p>
        </w:tc>
      </w:tr>
      <w:tr w:rsidR="00E634A6" w:rsidRPr="003763B6" w:rsidTr="00AA71B0">
        <w:trPr>
          <w:trHeight w:val="376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15:45-16:45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 xml:space="preserve">Warsztat 3 - Odnawialne Źródła Energii i efektywność energetyczna w działalności gospodarczej </w:t>
            </w:r>
          </w:p>
        </w:tc>
      </w:tr>
      <w:tr w:rsidR="00E634A6" w:rsidRPr="003763B6" w:rsidTr="00AA71B0">
        <w:trPr>
          <w:trHeight w:val="376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17:00-18:00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Warsztat 4 - Przedstawienie oferty IOB gospodarza targów połączone ze zwiedzaniem laboratoriów i inkubatorów</w:t>
            </w:r>
          </w:p>
        </w:tc>
      </w:tr>
      <w:tr w:rsidR="00E634A6" w:rsidRPr="003763B6" w:rsidTr="00AA71B0">
        <w:trPr>
          <w:trHeight w:val="198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19:30-21:30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Kolacja integracyjna</w:t>
            </w:r>
          </w:p>
        </w:tc>
      </w:tr>
      <w:tr w:rsidR="00E634A6" w:rsidRPr="003763B6" w:rsidTr="00AA71B0">
        <w:trPr>
          <w:trHeight w:val="188"/>
        </w:trPr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6600"/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  <w:t>25.04.2013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 xml:space="preserve">08:30-09:00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Rejestracja</w:t>
            </w:r>
          </w:p>
        </w:tc>
      </w:tr>
      <w:tr w:rsidR="00E634A6" w:rsidRPr="003763B6" w:rsidTr="00AA71B0">
        <w:trPr>
          <w:trHeight w:val="376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09:00-10:00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09:00-15:00</w:t>
            </w: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br/>
              <w:t xml:space="preserve">Targi Innowacji </w:t>
            </w: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br/>
              <w:t xml:space="preserve">i Przedsiębiorczości </w:t>
            </w: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br/>
              <w:t>4 Future</w:t>
            </w: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br/>
              <w:t>sala 0.14 i 0.16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Prezentacje firm uczestników spotkania kooperacyjnegow podziale na branże</w:t>
            </w:r>
          </w:p>
        </w:tc>
      </w:tr>
      <w:tr w:rsidR="00E634A6" w:rsidRPr="003763B6" w:rsidTr="00AA71B0">
        <w:trPr>
          <w:trHeight w:val="376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09:00-10:00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Prezentacje firm uczestników spotkania kooperacyjnegow podziale na branże</w:t>
            </w:r>
          </w:p>
        </w:tc>
      </w:tr>
      <w:tr w:rsidR="00E634A6" w:rsidRPr="003763B6" w:rsidTr="00AA71B0">
        <w:trPr>
          <w:trHeight w:val="188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10:00-10:30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Przerwa kawowa</w:t>
            </w:r>
          </w:p>
        </w:tc>
      </w:tr>
      <w:tr w:rsidR="00E634A6" w:rsidRPr="003763B6" w:rsidTr="00AA71B0">
        <w:trPr>
          <w:trHeight w:val="188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10:30-11:30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Spotkanie kooperacyjne cz.I</w:t>
            </w:r>
          </w:p>
        </w:tc>
      </w:tr>
      <w:tr w:rsidR="00E634A6" w:rsidRPr="003763B6" w:rsidTr="00AA71B0">
        <w:trPr>
          <w:trHeight w:val="188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11:30-11:45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Przerwa</w:t>
            </w:r>
          </w:p>
        </w:tc>
      </w:tr>
      <w:tr w:rsidR="00E634A6" w:rsidRPr="003763B6" w:rsidTr="00AA71B0">
        <w:trPr>
          <w:trHeight w:val="188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11:45-12:45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Spotkanie kooperacyjne cz.II</w:t>
            </w:r>
          </w:p>
        </w:tc>
      </w:tr>
      <w:tr w:rsidR="00E634A6" w:rsidRPr="003763B6" w:rsidTr="00AA71B0">
        <w:trPr>
          <w:trHeight w:val="188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13:00-14:00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Przerwa - lunch</w:t>
            </w:r>
          </w:p>
        </w:tc>
      </w:tr>
      <w:tr w:rsidR="00E634A6" w:rsidRPr="003763B6" w:rsidTr="00AA71B0">
        <w:trPr>
          <w:trHeight w:val="188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14:00-15:00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Spotkanie kooperacyjne cz.III</w:t>
            </w:r>
          </w:p>
        </w:tc>
      </w:tr>
      <w:tr w:rsidR="00E634A6" w:rsidRPr="003763B6" w:rsidTr="00AA71B0">
        <w:trPr>
          <w:trHeight w:val="198"/>
        </w:trPr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34A6" w:rsidRPr="003763B6" w:rsidRDefault="00E634A6" w:rsidP="00F03D64">
            <w:pPr>
              <w:spacing w:line="240" w:lineRule="auto"/>
              <w:rPr>
                <w:b/>
                <w:bCs/>
                <w:i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15:00-17:00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jc w:val="center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34A6" w:rsidRPr="003763B6" w:rsidRDefault="00E634A6" w:rsidP="00F03D64">
            <w:pPr>
              <w:spacing w:line="240" w:lineRule="auto"/>
              <w:rPr>
                <w:iCs w:val="0"/>
                <w:color w:val="000000"/>
                <w:sz w:val="18"/>
                <w:szCs w:val="18"/>
                <w:lang w:eastAsia="pl-PL"/>
              </w:rPr>
            </w:pPr>
            <w:r w:rsidRPr="003763B6">
              <w:rPr>
                <w:iCs w:val="0"/>
                <w:color w:val="000000"/>
                <w:sz w:val="18"/>
                <w:szCs w:val="18"/>
                <w:lang w:eastAsia="pl-PL"/>
              </w:rPr>
              <w:t>Demontaż indywidualnych elementów ze standardowych stoisk targowych</w:t>
            </w:r>
          </w:p>
        </w:tc>
      </w:tr>
    </w:tbl>
    <w:p w:rsidR="00E634A6" w:rsidRPr="008453E8" w:rsidRDefault="00E634A6" w:rsidP="000B5181">
      <w:pPr>
        <w:pBdr>
          <w:bottom w:val="single" w:sz="4" w:space="1" w:color="auto"/>
        </w:pBdr>
        <w:spacing w:line="240" w:lineRule="auto"/>
        <w:rPr>
          <w:b/>
          <w:sz w:val="24"/>
        </w:rPr>
      </w:pPr>
      <w:r w:rsidRPr="008453E8">
        <w:rPr>
          <w:b/>
          <w:sz w:val="24"/>
        </w:rPr>
        <w:t>WARUNKI UCZESTNICTWA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</w:pPr>
      <w:r w:rsidRPr="008453E8">
        <w:t>Do uczestnictwa w targach i spotkaniach kooperacyjnych zapraszamy:</w:t>
      </w:r>
    </w:p>
    <w:p w:rsidR="00E634A6" w:rsidRPr="008453E8" w:rsidRDefault="00E634A6" w:rsidP="000B5181">
      <w:pPr>
        <w:numPr>
          <w:ilvl w:val="1"/>
          <w:numId w:val="2"/>
        </w:numPr>
        <w:spacing w:line="240" w:lineRule="auto"/>
        <w:rPr>
          <w:lang w:eastAsia="pl-PL"/>
        </w:rPr>
      </w:pPr>
      <w:r w:rsidRPr="008453E8">
        <w:t>firmy-lokatorów</w:t>
      </w:r>
      <w:r w:rsidRPr="008453E8">
        <w:rPr>
          <w:lang w:eastAsia="pl-PL"/>
        </w:rPr>
        <w:t xml:space="preserve"> parków technologicznych, inkubatorów przedsiębiorczości, </w:t>
      </w:r>
      <w:r w:rsidRPr="008453E8">
        <w:rPr>
          <w:iCs w:val="0"/>
          <w:lang w:eastAsia="pl-PL"/>
        </w:rPr>
        <w:t>inkubatorów technologicznych i preinkubatorów akademickich,</w:t>
      </w:r>
    </w:p>
    <w:p w:rsidR="00E634A6" w:rsidRPr="008453E8" w:rsidRDefault="00E634A6" w:rsidP="000B5181">
      <w:pPr>
        <w:numPr>
          <w:ilvl w:val="1"/>
          <w:numId w:val="2"/>
        </w:numPr>
        <w:spacing w:line="240" w:lineRule="auto"/>
        <w:rPr>
          <w:iCs w:val="0"/>
          <w:lang w:eastAsia="pl-PL"/>
        </w:rPr>
      </w:pPr>
      <w:r w:rsidRPr="008453E8">
        <w:rPr>
          <w:iCs w:val="0"/>
          <w:lang w:eastAsia="pl-PL"/>
        </w:rPr>
        <w:t>firmy współpracujące z centrami transferu technologii,</w:t>
      </w:r>
    </w:p>
    <w:p w:rsidR="00E634A6" w:rsidRPr="008453E8" w:rsidRDefault="00E634A6" w:rsidP="000B5181">
      <w:pPr>
        <w:numPr>
          <w:ilvl w:val="1"/>
          <w:numId w:val="2"/>
        </w:numPr>
        <w:spacing w:line="240" w:lineRule="auto"/>
        <w:rPr>
          <w:iCs w:val="0"/>
          <w:lang w:eastAsia="pl-PL"/>
        </w:rPr>
      </w:pPr>
      <w:r w:rsidRPr="008453E8">
        <w:rPr>
          <w:iCs w:val="0"/>
          <w:lang w:eastAsia="pl-PL"/>
        </w:rPr>
        <w:t>członków klastrów.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Wszystkie koszty związane z uczestnictwem w targach i spotkaniach kooperacyjnych pokrywają organizatorzy z wyjątkiem:</w:t>
      </w:r>
    </w:p>
    <w:p w:rsidR="00E634A6" w:rsidRPr="008453E8" w:rsidRDefault="00E634A6" w:rsidP="000B5181">
      <w:pPr>
        <w:numPr>
          <w:ilvl w:val="1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dojazdu,</w:t>
      </w:r>
    </w:p>
    <w:p w:rsidR="00E634A6" w:rsidRPr="008453E8" w:rsidRDefault="00E634A6" w:rsidP="000B5181">
      <w:pPr>
        <w:numPr>
          <w:ilvl w:val="1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noclegu,</w:t>
      </w:r>
    </w:p>
    <w:p w:rsidR="00E634A6" w:rsidRPr="008453E8" w:rsidRDefault="00E634A6" w:rsidP="000B5181">
      <w:pPr>
        <w:numPr>
          <w:ilvl w:val="1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elementów dodatkowych stoiska i ekspozycji, nie ujętych w ofercie.</w:t>
      </w:r>
    </w:p>
    <w:p w:rsidR="00E634A6" w:rsidRPr="008453E8" w:rsidRDefault="00E634A6" w:rsidP="000B5181">
      <w:pPr>
        <w:spacing w:line="240" w:lineRule="auto"/>
        <w:rPr>
          <w:b/>
          <w:lang w:eastAsia="pl-PL"/>
        </w:rPr>
      </w:pPr>
      <w:r w:rsidRPr="008453E8">
        <w:rPr>
          <w:b/>
          <w:lang w:eastAsia="pl-PL"/>
        </w:rPr>
        <w:t xml:space="preserve">Jednocześnie koszty udziału w </w:t>
      </w:r>
      <w:r w:rsidRPr="008453E8">
        <w:rPr>
          <w:b/>
        </w:rPr>
        <w:t>targach i spotkaniach kooperacyjnych stanowią dla przedsiębiorcy pomoc de minimis.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Dla zmniejszenia kosztów noclegów wynegocjowaliśmy specjalne stawki w hotelach dla tych z Państwa, którzy dokonają rezerwacji na 14 dni przed datą rozpoczęcia spotkania. Szczegółowe informacje co do kosztów noclegów znajdziecie Państwo w kartach informacyjnych poszczególnych miejsc i terminów na stronie internetowej.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 xml:space="preserve">Każda firma-lokator może uczestniczyć we wszystkich zaplanowanych targach i spotkaniach kooperacyjnych, z zastrzeżeniem, że jedna osoba (pracownik danej instytucji) może wziąć udział </w:t>
      </w:r>
      <w:r w:rsidRPr="008453E8">
        <w:rPr>
          <w:lang w:eastAsia="pl-PL"/>
        </w:rPr>
        <w:br/>
        <w:t>w jednym wydarzeniu.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Uczestników targów i spotkań kooperacyjnych obowiązują regulaminy miejsc, w których odbywają się wydarzenia.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 xml:space="preserve">Rejestracja Wystawców prowadzona jest poprzez formularz internetowy dostępny poprzez stronę </w:t>
      </w:r>
      <w:hyperlink r:id="rId7" w:history="1">
        <w:r w:rsidRPr="008453E8">
          <w:rPr>
            <w:rStyle w:val="Hyperlink"/>
            <w:rFonts w:cs="Tahoma"/>
            <w:color w:val="E36C0A"/>
            <w:lang w:eastAsia="pl-PL"/>
          </w:rPr>
          <w:t>https://targi.dpin.pl/rejestracja/</w:t>
        </w:r>
      </w:hyperlink>
      <w:r w:rsidRPr="008453E8">
        <w:rPr>
          <w:lang w:eastAsia="pl-PL"/>
        </w:rPr>
        <w:t xml:space="preserve">. 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Zgłoszenia przyjmowane są do 7 dni przed danym wydarzeniem czyli:</w:t>
      </w:r>
    </w:p>
    <w:p w:rsidR="00E634A6" w:rsidRPr="008453E8" w:rsidRDefault="00E634A6" w:rsidP="000B5181">
      <w:pPr>
        <w:numPr>
          <w:ilvl w:val="1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targi w Łodzi – do dnia 15 kwietnia 2013 r.,</w:t>
      </w:r>
    </w:p>
    <w:p w:rsidR="00E634A6" w:rsidRPr="008453E8" w:rsidRDefault="00E634A6" w:rsidP="000B5181">
      <w:pPr>
        <w:numPr>
          <w:ilvl w:val="1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targi w Krakowie – do dnia 10 czerwca 2013 r.,</w:t>
      </w:r>
    </w:p>
    <w:p w:rsidR="00E634A6" w:rsidRPr="008453E8" w:rsidRDefault="00E634A6" w:rsidP="000B5181">
      <w:pPr>
        <w:numPr>
          <w:ilvl w:val="1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targi we Wrocławiu – do dnia 14 października 2013 r.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Miejsce ekspozycji wskazuje Organizator targów – DPIN, nie ma możliwości wyboru miejsc.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 xml:space="preserve">Każdy Wystawca może wziąć udział w warsztatach uzupełniających, których tematy dla poszczególnych edycji znajdują się w formularzu zgłoszeniowym.  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  <w:rPr>
          <w:lang w:eastAsia="pl-PL"/>
        </w:rPr>
      </w:pPr>
      <w:r w:rsidRPr="008453E8">
        <w:t xml:space="preserve">W ramach bezpłatnej promocji Wystawców będą publikowane nazwy i logotypy firm uczestników targów na stronie </w:t>
      </w:r>
      <w:hyperlink r:id="rId8" w:history="1">
        <w:r w:rsidRPr="008453E8">
          <w:rPr>
            <w:rStyle w:val="Hyperlink"/>
            <w:rFonts w:cs="Tahoma"/>
            <w:color w:val="E36C0A"/>
          </w:rPr>
          <w:t>www.targi4future.pl/uczestnicy</w:t>
        </w:r>
      </w:hyperlink>
      <w:r w:rsidRPr="008453E8">
        <w:t>, w związku z tym Wystawca udostępni bezpłatnie logotyp w wersji bitmapy - .jpg lub .png o wielkości max 200 px, 92 dpi.</w:t>
      </w:r>
    </w:p>
    <w:p w:rsidR="00E634A6" w:rsidRPr="008453E8" w:rsidRDefault="00E634A6" w:rsidP="000B5181">
      <w:pPr>
        <w:numPr>
          <w:ilvl w:val="0"/>
          <w:numId w:val="2"/>
        </w:numPr>
        <w:spacing w:line="240" w:lineRule="auto"/>
        <w:rPr>
          <w:lang w:eastAsia="pl-PL"/>
        </w:rPr>
      </w:pPr>
      <w:r w:rsidRPr="008453E8">
        <w:rPr>
          <w:lang w:eastAsia="pl-PL"/>
        </w:rPr>
        <w:t>Organizator zastrzega sobie możliwość wykorzystania wizerunku i oferty Wystawcy do celów promocyjnych, co będzie ustalane indywidualnie.</w:t>
      </w:r>
    </w:p>
    <w:p w:rsidR="00E634A6" w:rsidRPr="008453E8" w:rsidRDefault="00E634A6" w:rsidP="000B5181">
      <w:pPr>
        <w:spacing w:line="240" w:lineRule="auto"/>
        <w:rPr>
          <w:b/>
          <w:color w:val="E36C0A"/>
          <w:u w:val="single"/>
        </w:rPr>
      </w:pPr>
      <w:hyperlink r:id="rId9" w:history="1">
        <w:r w:rsidRPr="008453E8">
          <w:rPr>
            <w:rStyle w:val="Hyperlink"/>
            <w:rFonts w:cs="Tahoma"/>
            <w:b/>
            <w:color w:val="E36C0A"/>
          </w:rPr>
          <w:t>Przejdź do formularza zgłoszeniowego</w:t>
        </w:r>
      </w:hyperlink>
    </w:p>
    <w:p w:rsidR="00E634A6" w:rsidRPr="008453E8" w:rsidRDefault="00E634A6" w:rsidP="000B5181">
      <w:pPr>
        <w:pBdr>
          <w:bottom w:val="single" w:sz="4" w:space="1" w:color="auto"/>
        </w:pBdr>
        <w:spacing w:line="240" w:lineRule="auto"/>
        <w:rPr>
          <w:b/>
          <w:sz w:val="24"/>
        </w:rPr>
      </w:pPr>
      <w:r>
        <w:rPr>
          <w:b/>
          <w:sz w:val="24"/>
        </w:rPr>
        <w:t>STOISKA I USŁUGI DODATKOWE</w:t>
      </w:r>
    </w:p>
    <w:p w:rsidR="00E634A6" w:rsidRPr="008453E8" w:rsidRDefault="00E634A6" w:rsidP="000B5181">
      <w:pPr>
        <w:spacing w:line="240" w:lineRule="auto"/>
      </w:pPr>
      <w:r w:rsidRPr="008453E8">
        <w:t>Każdemu wystawcy, w ramach oferty bezpłatnej, proponujemy:</w:t>
      </w:r>
    </w:p>
    <w:p w:rsidR="00E634A6" w:rsidRPr="008453E8" w:rsidRDefault="00E634A6" w:rsidP="000B5181">
      <w:pPr>
        <w:numPr>
          <w:ilvl w:val="0"/>
          <w:numId w:val="3"/>
        </w:numPr>
        <w:spacing w:line="240" w:lineRule="auto"/>
        <w:ind w:left="714" w:right="113" w:hanging="357"/>
        <w:jc w:val="left"/>
      </w:pPr>
      <w:r w:rsidRPr="008453E8">
        <w:t>stoisko o powierzchni 2x3 m,</w:t>
      </w:r>
    </w:p>
    <w:p w:rsidR="00E634A6" w:rsidRPr="008453E8" w:rsidRDefault="00E634A6" w:rsidP="000B5181">
      <w:pPr>
        <w:numPr>
          <w:ilvl w:val="0"/>
          <w:numId w:val="3"/>
        </w:numPr>
        <w:spacing w:line="240" w:lineRule="auto"/>
        <w:ind w:left="714" w:right="113" w:hanging="357"/>
      </w:pPr>
      <w:r w:rsidRPr="008453E8">
        <w:t xml:space="preserve">jedną ladę informacyjną z półką o wymiarach </w:t>
      </w:r>
      <w:r>
        <w:t>ok.</w:t>
      </w:r>
      <w:r w:rsidRPr="008453E8">
        <w:t xml:space="preserve"> szer. 100cm, wys.90 cm, gł.50 cm,</w:t>
      </w:r>
    </w:p>
    <w:p w:rsidR="00E634A6" w:rsidRPr="008453E8" w:rsidRDefault="00E634A6" w:rsidP="000B5181">
      <w:pPr>
        <w:numPr>
          <w:ilvl w:val="0"/>
          <w:numId w:val="3"/>
        </w:numPr>
        <w:spacing w:line="240" w:lineRule="auto"/>
        <w:ind w:left="714" w:right="113" w:hanging="357"/>
        <w:jc w:val="left"/>
      </w:pPr>
      <w:r w:rsidRPr="008453E8">
        <w:t>stolik do rozmów,</w:t>
      </w:r>
    </w:p>
    <w:p w:rsidR="00E634A6" w:rsidRPr="008453E8" w:rsidRDefault="00E634A6" w:rsidP="000B5181">
      <w:pPr>
        <w:numPr>
          <w:ilvl w:val="0"/>
          <w:numId w:val="3"/>
        </w:numPr>
        <w:spacing w:line="240" w:lineRule="auto"/>
        <w:ind w:left="714" w:right="113" w:hanging="357"/>
        <w:jc w:val="left"/>
      </w:pPr>
      <w:r w:rsidRPr="008453E8">
        <w:t>dwa krzesła,</w:t>
      </w:r>
    </w:p>
    <w:p w:rsidR="00E634A6" w:rsidRPr="008453E8" w:rsidRDefault="00E634A6" w:rsidP="000B5181">
      <w:pPr>
        <w:numPr>
          <w:ilvl w:val="0"/>
          <w:numId w:val="3"/>
        </w:numPr>
        <w:spacing w:line="240" w:lineRule="auto"/>
        <w:ind w:left="714" w:right="113" w:hanging="357"/>
        <w:jc w:val="left"/>
      </w:pPr>
      <w:r w:rsidRPr="008453E8">
        <w:t>dostęp do instalacji elektrycznej i oświetlenia – jeden punkt poboru i oświetlenia,</w:t>
      </w:r>
    </w:p>
    <w:p w:rsidR="00E634A6" w:rsidRPr="008453E8" w:rsidRDefault="00E634A6" w:rsidP="000B5181">
      <w:pPr>
        <w:numPr>
          <w:ilvl w:val="0"/>
          <w:numId w:val="3"/>
        </w:numPr>
        <w:spacing w:line="240" w:lineRule="auto"/>
        <w:ind w:left="714" w:right="113" w:hanging="357"/>
      </w:pPr>
      <w:r w:rsidRPr="008453E8">
        <w:t>na pisemny wniosek Wystawcy - podest lub witrynę na elementy poddostawcze o wymiarach co najmniej szer. 100cm, wys.40 cm, gł.50 cm.</w:t>
      </w:r>
    </w:p>
    <w:p w:rsidR="00E634A6" w:rsidRDefault="00E634A6" w:rsidP="000B5181">
      <w:pPr>
        <w:spacing w:line="240" w:lineRule="auto"/>
        <w:ind w:right="113"/>
      </w:pPr>
      <w:r w:rsidRPr="008453E8">
        <w:t xml:space="preserve">Wszelkie dodatkowe wyposażenie będzie odpłatne i podlega osobnym ustaleniom z dostawcą systemu wystawienniczego. </w:t>
      </w:r>
    </w:p>
    <w:p w:rsidR="00E634A6" w:rsidRPr="00950F16" w:rsidRDefault="00E634A6" w:rsidP="000B5181">
      <w:pPr>
        <w:pBdr>
          <w:bottom w:val="single" w:sz="4" w:space="1" w:color="auto"/>
        </w:pBdr>
        <w:spacing w:line="240" w:lineRule="auto"/>
        <w:rPr>
          <w:b/>
          <w:sz w:val="24"/>
        </w:rPr>
      </w:pPr>
      <w:r>
        <w:rPr>
          <w:b/>
          <w:sz w:val="24"/>
        </w:rPr>
        <w:t xml:space="preserve">TERMIN I MIEJSCE </w:t>
      </w:r>
    </w:p>
    <w:p w:rsidR="00E634A6" w:rsidRPr="00DC47C4" w:rsidRDefault="00E634A6" w:rsidP="000B5181">
      <w:pPr>
        <w:pStyle w:val="NoSpacing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8" type="#_x0000_t75" style="position:absolute;left:0;text-align:left;margin-left:-2.6pt;margin-top:9.5pt;width:138.45pt;height:92.05pt;z-index:251658240;visibility:visible">
            <v:imagedata r:id="rId10" o:title=""/>
            <w10:wrap type="square"/>
          </v:shape>
        </w:pict>
      </w:r>
      <w:r w:rsidRPr="00DC47C4">
        <w:t xml:space="preserve">Pierwsze Targi Innowacji i Przedsiębiorczości </w:t>
      </w:r>
      <w:hyperlink r:id="rId11" w:history="1">
        <w:r w:rsidRPr="00DC47C4">
          <w:rPr>
            <w:rStyle w:val="Hyperlink"/>
            <w:rFonts w:cs="Tahoma"/>
            <w:b/>
            <w:color w:val="E36C0A"/>
          </w:rPr>
          <w:t>4 FUTURE</w:t>
        </w:r>
      </w:hyperlink>
      <w:r w:rsidRPr="00DC47C4">
        <w:t xml:space="preserve"> wraz ze </w:t>
      </w:r>
      <w:hyperlink r:id="rId12" w:history="1">
        <w:r w:rsidRPr="00DC47C4">
          <w:rPr>
            <w:rStyle w:val="Hyperlink"/>
            <w:rFonts w:cs="Tahoma"/>
            <w:b/>
            <w:color w:val="E36C0A"/>
          </w:rPr>
          <w:t>Spotkaniami Kooperacyjnymi</w:t>
        </w:r>
      </w:hyperlink>
      <w:r w:rsidRPr="00DC47C4">
        <w:t xml:space="preserve"> i warsztatami merytorycznymi odbędą się w dniach 24-25 kwietnia 2013 r. w Łodzi na terenie Łódzkiego Regionalnego Parku Naukowo-Technologicznego zlokalizowanego przy ul. Dubois 114-116.</w:t>
      </w:r>
    </w:p>
    <w:p w:rsidR="00E634A6" w:rsidRPr="00DC47C4" w:rsidRDefault="00E634A6" w:rsidP="000B5181">
      <w:pPr>
        <w:pStyle w:val="NoSpacing"/>
      </w:pPr>
      <w:r w:rsidRPr="00DC47C4">
        <w:t>Powierzchnia wystawiennicza targów obejmie ok. 240 m2 w sali usytuowanej na parterze Parku</w:t>
      </w:r>
      <w:r>
        <w:t>. Sala Spotkań Kooperacyjnych sąsiaduje z nią bezpośrednio.</w:t>
      </w:r>
      <w:r w:rsidRPr="00DC47C4">
        <w:t xml:space="preserve"> </w:t>
      </w:r>
    </w:p>
    <w:p w:rsidR="00E634A6" w:rsidRPr="00950F16" w:rsidRDefault="00E634A6" w:rsidP="000B5181">
      <w:pPr>
        <w:pBdr>
          <w:bottom w:val="single" w:sz="4" w:space="1" w:color="auto"/>
        </w:pBdr>
        <w:spacing w:line="240" w:lineRule="auto"/>
        <w:rPr>
          <w:b/>
          <w:sz w:val="24"/>
        </w:rPr>
      </w:pPr>
      <w:r>
        <w:rPr>
          <w:b/>
          <w:sz w:val="24"/>
        </w:rPr>
        <w:t>DOJAZD I PARKING</w:t>
      </w:r>
    </w:p>
    <w:p w:rsidR="00E634A6" w:rsidRPr="00DC47C4" w:rsidRDefault="00E634A6" w:rsidP="000B5181">
      <w:pPr>
        <w:spacing w:before="240"/>
      </w:pPr>
      <w:r w:rsidRPr="00DC47C4">
        <w:t>Dojazd komunikacją miejską: linia autobusowa nr 62 lub 62A do krańcówki Dubois (patrz również mapka na następnej stronie).</w:t>
      </w:r>
    </w:p>
    <w:p w:rsidR="00E634A6" w:rsidRPr="00DC47C4" w:rsidRDefault="00E634A6" w:rsidP="000B5181">
      <w:pPr>
        <w:spacing w:before="240"/>
      </w:pPr>
      <w:r w:rsidRPr="00DC47C4">
        <w:t xml:space="preserve">Na terenie Parku znajduje się bezpłatny parking na ok. 70 samochodów. Poza terenem można (także bezpłatnie) parkować wzdłuż ulicy i na parkingu zewnętrznym firmy Stone Master, która znajduje się vis a vis. </w:t>
      </w:r>
    </w:p>
    <w:p w:rsidR="00E634A6" w:rsidRPr="00950F16" w:rsidRDefault="00E634A6" w:rsidP="000B5181">
      <w:pPr>
        <w:pBdr>
          <w:bottom w:val="single" w:sz="4" w:space="1" w:color="auto"/>
        </w:pBdr>
        <w:spacing w:line="240" w:lineRule="auto"/>
        <w:rPr>
          <w:b/>
          <w:sz w:val="24"/>
        </w:rPr>
      </w:pPr>
      <w:r>
        <w:rPr>
          <w:b/>
          <w:sz w:val="24"/>
        </w:rPr>
        <w:t>NOCLEGI</w:t>
      </w:r>
    </w:p>
    <w:p w:rsidR="00E634A6" w:rsidRPr="00DC47C4" w:rsidRDefault="00E634A6" w:rsidP="000B5181">
      <w:pPr>
        <w:spacing w:before="240" w:line="252" w:lineRule="auto"/>
        <w:rPr>
          <w:szCs w:val="400"/>
        </w:rPr>
      </w:pPr>
      <w:r w:rsidRPr="00DC47C4">
        <w:rPr>
          <w:szCs w:val="400"/>
        </w:rPr>
        <w:t xml:space="preserve">Rekomendujemy hotel </w:t>
      </w:r>
      <w:hyperlink r:id="rId13" w:history="1">
        <w:r w:rsidRPr="00DC47C4">
          <w:rPr>
            <w:rStyle w:val="Hyperlink"/>
            <w:rFonts w:cs="Tahoma"/>
            <w:b/>
            <w:color w:val="E36C0A"/>
            <w:szCs w:val="400"/>
          </w:rPr>
          <w:t>Qubus</w:t>
        </w:r>
      </w:hyperlink>
      <w:r w:rsidRPr="00DC47C4">
        <w:rPr>
          <w:szCs w:val="400"/>
        </w:rPr>
        <w:t xml:space="preserve"> – rezerwacja ze zniżką</w:t>
      </w:r>
      <w:r>
        <w:rPr>
          <w:szCs w:val="400"/>
        </w:rPr>
        <w:t xml:space="preserve"> na hasło: Bionanopark. </w:t>
      </w:r>
    </w:p>
    <w:p w:rsidR="00E634A6" w:rsidRPr="000B5181" w:rsidRDefault="00E634A6" w:rsidP="000B5181">
      <w:r>
        <w:t xml:space="preserve">Więcej na: </w:t>
      </w:r>
      <w:hyperlink r:id="rId14" w:history="1">
        <w:r w:rsidRPr="00AA71B0">
          <w:rPr>
            <w:rStyle w:val="Hyperlink"/>
            <w:rFonts w:cs="Tahoma"/>
            <w:b/>
            <w:color w:val="E36C0A"/>
          </w:rPr>
          <w:t>www.spotk</w:t>
        </w:r>
        <w:bookmarkStart w:id="0" w:name="_GoBack"/>
        <w:bookmarkEnd w:id="0"/>
        <w:r w:rsidRPr="00AA71B0">
          <w:rPr>
            <w:rStyle w:val="Hyperlink"/>
            <w:rFonts w:cs="Tahoma"/>
            <w:b/>
            <w:color w:val="E36C0A"/>
          </w:rPr>
          <w:t>ania.parkowe.pl</w:t>
        </w:r>
      </w:hyperlink>
      <w:r>
        <w:t xml:space="preserve">. </w:t>
      </w:r>
    </w:p>
    <w:sectPr w:rsidR="00E634A6" w:rsidRPr="000B5181" w:rsidSect="00AA71B0">
      <w:headerReference w:type="default" r:id="rId15"/>
      <w:footerReference w:type="default" r:id="rId16"/>
      <w:pgSz w:w="11906" w:h="16838"/>
      <w:pgMar w:top="170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A6" w:rsidRDefault="00E634A6" w:rsidP="0026491B">
      <w:r>
        <w:separator/>
      </w:r>
    </w:p>
  </w:endnote>
  <w:endnote w:type="continuationSeparator" w:id="0">
    <w:p w:rsidR="00E634A6" w:rsidRDefault="00E634A6" w:rsidP="00264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A6" w:rsidRDefault="00E634A6" w:rsidP="0026491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left:0;text-align:left;margin-left:470.1pt;margin-top:3.85pt;width:40.5pt;height:13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" stroked="f">
          <v:textbox style="mso-fit-shape-to-text:t">
            <w:txbxContent>
              <w:p w:rsidR="00E634A6" w:rsidRPr="0061597B" w:rsidRDefault="00E634A6" w:rsidP="0026491B">
                <w:pPr>
                  <w:pStyle w:val="Footer"/>
                </w:pPr>
                <w:r w:rsidRPr="0061597B">
                  <w:t xml:space="preserve">str. </w:t>
                </w:r>
                <w:fldSimple w:instr="PAGE    \* MERGEFORMAT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A6" w:rsidRDefault="00E634A6" w:rsidP="0026491B">
      <w:r>
        <w:separator/>
      </w:r>
    </w:p>
  </w:footnote>
  <w:footnote w:type="continuationSeparator" w:id="0">
    <w:p w:rsidR="00E634A6" w:rsidRDefault="00E634A6" w:rsidP="00264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A6" w:rsidRDefault="00E634A6" w:rsidP="002649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49" type="#_x0000_t75" alt="papier_forum_5" style="position:absolute;left:0;text-align:left;margin-left:-84.6pt;margin-top:-38pt;width:600.1pt;height:849.4pt;z-index:-251658240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B7C"/>
    <w:multiLevelType w:val="hybridMultilevel"/>
    <w:tmpl w:val="BCCEC7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829DE"/>
    <w:multiLevelType w:val="hybridMultilevel"/>
    <w:tmpl w:val="0FD4994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F42C34"/>
    <w:multiLevelType w:val="hybridMultilevel"/>
    <w:tmpl w:val="0D68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37ED2"/>
    <w:multiLevelType w:val="hybridMultilevel"/>
    <w:tmpl w:val="75781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786AF4"/>
    <w:multiLevelType w:val="hybridMultilevel"/>
    <w:tmpl w:val="CC42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3867CC"/>
    <w:multiLevelType w:val="hybridMultilevel"/>
    <w:tmpl w:val="75781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390"/>
    <w:rsid w:val="00062452"/>
    <w:rsid w:val="00083E2D"/>
    <w:rsid w:val="00093979"/>
    <w:rsid w:val="000A325E"/>
    <w:rsid w:val="000B205F"/>
    <w:rsid w:val="000B2A9F"/>
    <w:rsid w:val="000B4BAB"/>
    <w:rsid w:val="000B5181"/>
    <w:rsid w:val="00131480"/>
    <w:rsid w:val="0014518B"/>
    <w:rsid w:val="0017132F"/>
    <w:rsid w:val="00172EFA"/>
    <w:rsid w:val="001B03B1"/>
    <w:rsid w:val="001D6F43"/>
    <w:rsid w:val="001E6027"/>
    <w:rsid w:val="002370E0"/>
    <w:rsid w:val="00252400"/>
    <w:rsid w:val="00261819"/>
    <w:rsid w:val="0026491B"/>
    <w:rsid w:val="0026569B"/>
    <w:rsid w:val="002710EA"/>
    <w:rsid w:val="002A39B3"/>
    <w:rsid w:val="002B2AAB"/>
    <w:rsid w:val="002B5C43"/>
    <w:rsid w:val="002F22CF"/>
    <w:rsid w:val="002F4B62"/>
    <w:rsid w:val="00305765"/>
    <w:rsid w:val="003157E7"/>
    <w:rsid w:val="003763B6"/>
    <w:rsid w:val="003E5F6B"/>
    <w:rsid w:val="003F0EA3"/>
    <w:rsid w:val="003F48F9"/>
    <w:rsid w:val="004122C0"/>
    <w:rsid w:val="004408AD"/>
    <w:rsid w:val="004446FD"/>
    <w:rsid w:val="004B599D"/>
    <w:rsid w:val="004E331B"/>
    <w:rsid w:val="005173B5"/>
    <w:rsid w:val="005463D9"/>
    <w:rsid w:val="005A0435"/>
    <w:rsid w:val="005A2ECC"/>
    <w:rsid w:val="005A47B9"/>
    <w:rsid w:val="005A77BD"/>
    <w:rsid w:val="005D43A4"/>
    <w:rsid w:val="005F0F17"/>
    <w:rsid w:val="0061597B"/>
    <w:rsid w:val="00616EBD"/>
    <w:rsid w:val="006252E7"/>
    <w:rsid w:val="006356EE"/>
    <w:rsid w:val="00671056"/>
    <w:rsid w:val="00681751"/>
    <w:rsid w:val="006955CC"/>
    <w:rsid w:val="006959FF"/>
    <w:rsid w:val="006A420D"/>
    <w:rsid w:val="006B56E7"/>
    <w:rsid w:val="006D4083"/>
    <w:rsid w:val="006F46B0"/>
    <w:rsid w:val="00702183"/>
    <w:rsid w:val="00715A1F"/>
    <w:rsid w:val="00762679"/>
    <w:rsid w:val="00781368"/>
    <w:rsid w:val="00782B41"/>
    <w:rsid w:val="007909E9"/>
    <w:rsid w:val="007A6134"/>
    <w:rsid w:val="007C1FB5"/>
    <w:rsid w:val="007C270B"/>
    <w:rsid w:val="007E6D53"/>
    <w:rsid w:val="007F7D62"/>
    <w:rsid w:val="00817824"/>
    <w:rsid w:val="008453E8"/>
    <w:rsid w:val="008671A4"/>
    <w:rsid w:val="00877663"/>
    <w:rsid w:val="008928ED"/>
    <w:rsid w:val="008A03AE"/>
    <w:rsid w:val="008A2A0E"/>
    <w:rsid w:val="008E23FC"/>
    <w:rsid w:val="008F3419"/>
    <w:rsid w:val="00900F97"/>
    <w:rsid w:val="00945B1E"/>
    <w:rsid w:val="00950F16"/>
    <w:rsid w:val="00964D11"/>
    <w:rsid w:val="00A01B4F"/>
    <w:rsid w:val="00A04192"/>
    <w:rsid w:val="00A33034"/>
    <w:rsid w:val="00A404D4"/>
    <w:rsid w:val="00A415D9"/>
    <w:rsid w:val="00AA71B0"/>
    <w:rsid w:val="00AE6C38"/>
    <w:rsid w:val="00AF2567"/>
    <w:rsid w:val="00B4697D"/>
    <w:rsid w:val="00B46D75"/>
    <w:rsid w:val="00B92E04"/>
    <w:rsid w:val="00BA5907"/>
    <w:rsid w:val="00BC2595"/>
    <w:rsid w:val="00BE4D5F"/>
    <w:rsid w:val="00C62559"/>
    <w:rsid w:val="00CA1AB8"/>
    <w:rsid w:val="00CA7369"/>
    <w:rsid w:val="00CB40C9"/>
    <w:rsid w:val="00CC7622"/>
    <w:rsid w:val="00CE27D6"/>
    <w:rsid w:val="00CF739B"/>
    <w:rsid w:val="00CF7C07"/>
    <w:rsid w:val="00D03A64"/>
    <w:rsid w:val="00D8137B"/>
    <w:rsid w:val="00D86267"/>
    <w:rsid w:val="00DC47C4"/>
    <w:rsid w:val="00DC4A33"/>
    <w:rsid w:val="00DD1DF8"/>
    <w:rsid w:val="00DF2195"/>
    <w:rsid w:val="00E3481A"/>
    <w:rsid w:val="00E634A6"/>
    <w:rsid w:val="00E639A2"/>
    <w:rsid w:val="00E65725"/>
    <w:rsid w:val="00E91CFD"/>
    <w:rsid w:val="00F03D64"/>
    <w:rsid w:val="00F4656F"/>
    <w:rsid w:val="00F51DD1"/>
    <w:rsid w:val="00F66E95"/>
    <w:rsid w:val="00F84862"/>
    <w:rsid w:val="00FC3EA8"/>
    <w:rsid w:val="00FD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6491B"/>
    <w:pPr>
      <w:spacing w:before="120" w:line="276" w:lineRule="auto"/>
      <w:jc w:val="both"/>
    </w:pPr>
    <w:rPr>
      <w:rFonts w:ascii="Tahoma" w:hAnsi="Tahoma" w:cs="Tahoma"/>
      <w:iCs/>
      <w:sz w:val="20"/>
      <w:szCs w:val="20"/>
      <w:lang w:eastAsia="en-US"/>
    </w:rPr>
  </w:style>
  <w:style w:type="paragraph" w:styleId="Heading1">
    <w:name w:val="heading 1"/>
    <w:aliases w:val="H2,H1,Part,Lev 1,Clause,1,PBC"/>
    <w:basedOn w:val="Normal"/>
    <w:next w:val="Normal"/>
    <w:link w:val="Heading1Char"/>
    <w:uiPriority w:val="99"/>
    <w:qFormat/>
    <w:rsid w:val="0017132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 w:cs="Times New Roman"/>
      <w:b/>
      <w:bCs/>
      <w:i/>
      <w:color w:val="622423"/>
      <w:lang w:eastAsia="pl-PL"/>
    </w:rPr>
  </w:style>
  <w:style w:type="paragraph" w:styleId="Heading2">
    <w:name w:val="heading 2"/>
    <w:aliases w:val="Heading 2 Char,Paragraph,2,2PBC,A,h2,A.B.C.,Heading2,H2-Heading 2,Header 2,l2,Header2,22,heading2,list2,list 2,21,23,24,25,211,221,231,241,26,212,222,232,242,251,2111,2211,2311,2411,27,213,223,233,243,252,2112,2212,2312,2412,261,2121,2221"/>
    <w:basedOn w:val="Normal"/>
    <w:next w:val="Normal"/>
    <w:link w:val="Heading2Char1"/>
    <w:uiPriority w:val="99"/>
    <w:qFormat/>
    <w:rsid w:val="00FC3EA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cs="Times New Roman"/>
      <w:b/>
      <w:bCs/>
      <w:color w:val="943634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32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 w:cs="Times New Roman"/>
      <w:b/>
      <w:bCs/>
      <w:i/>
      <w:color w:val="94363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32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 w:cs="Times New Roman"/>
      <w:b/>
      <w:bCs/>
      <w:i/>
      <w:color w:val="94363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132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 w:cs="Times New Roman"/>
      <w:b/>
      <w:bCs/>
      <w:i/>
      <w:color w:val="943634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132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 w:cs="Times New Roman"/>
      <w:i/>
      <w:color w:val="94363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132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 w:cs="Times New Roman"/>
      <w:i/>
      <w:color w:val="943634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7132F"/>
    <w:pPr>
      <w:spacing w:before="200" w:after="100" w:line="240" w:lineRule="auto"/>
      <w:contextualSpacing/>
      <w:outlineLvl w:val="7"/>
    </w:pPr>
    <w:rPr>
      <w:rFonts w:ascii="Cambria" w:hAnsi="Cambria" w:cs="Times New Roman"/>
      <w:i/>
      <w:color w:val="C0504D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7132F"/>
    <w:pPr>
      <w:spacing w:before="200" w:after="100" w:line="240" w:lineRule="auto"/>
      <w:contextualSpacing/>
      <w:outlineLvl w:val="8"/>
    </w:pPr>
    <w:rPr>
      <w:rFonts w:ascii="Cambria" w:hAnsi="Cambria" w:cs="Times New Roman"/>
      <w:i/>
      <w:color w:val="C0504D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2 Char,H1 Char,Part Char,Lev 1 Char,Clause Char,1 Char,PBC Char"/>
    <w:basedOn w:val="DefaultParagraphFont"/>
    <w:link w:val="Heading1"/>
    <w:uiPriority w:val="99"/>
    <w:locked/>
    <w:rsid w:val="0017132F"/>
    <w:rPr>
      <w:rFonts w:ascii="Cambria" w:hAnsi="Cambria"/>
      <w:b/>
      <w:i/>
      <w:color w:val="622423"/>
      <w:shd w:val="clear" w:color="auto" w:fill="F2DBDB"/>
    </w:rPr>
  </w:style>
  <w:style w:type="character" w:customStyle="1" w:styleId="Heading2Char1">
    <w:name w:val="Heading 2 Char1"/>
    <w:aliases w:val="Heading 2 Char Char,Paragraph Char,2 Char,2PBC Char,A Char,h2 Char,A.B.C. Char,Heading2 Char,H2-Heading 2 Char,Header 2 Char,l2 Char,Header2 Char,22 Char,heading2 Char,list2 Char,list 2 Char,21 Char,23 Char,24 Char,25 Char,211 Char"/>
    <w:basedOn w:val="DefaultParagraphFont"/>
    <w:link w:val="Heading2"/>
    <w:uiPriority w:val="99"/>
    <w:locked/>
    <w:rsid w:val="00FC3EA8"/>
    <w:rPr>
      <w:rFonts w:ascii="Tahoma" w:hAnsi="Tahoma"/>
      <w:b/>
      <w:color w:val="943634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132F"/>
    <w:rPr>
      <w:rFonts w:ascii="Cambria" w:hAnsi="Cambria"/>
      <w:b/>
      <w:i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132F"/>
    <w:rPr>
      <w:rFonts w:ascii="Cambria" w:hAnsi="Cambria"/>
      <w:b/>
      <w:i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132F"/>
    <w:rPr>
      <w:rFonts w:ascii="Cambria" w:hAnsi="Cambria"/>
      <w:b/>
      <w:i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7132F"/>
    <w:rPr>
      <w:rFonts w:ascii="Cambria" w:hAnsi="Cambria"/>
      <w:i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7132F"/>
    <w:rPr>
      <w:rFonts w:ascii="Cambria" w:hAnsi="Cambria"/>
      <w:i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7132F"/>
    <w:rPr>
      <w:rFonts w:ascii="Cambria" w:hAnsi="Cambria"/>
      <w:i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7132F"/>
    <w:rPr>
      <w:rFonts w:ascii="Cambria" w:hAnsi="Cambria"/>
      <w:i/>
      <w:color w:val="C0504D"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17132F"/>
    <w:pPr>
      <w:pBdr>
        <w:top w:val="single" w:sz="48" w:space="0" w:color="C0504D"/>
        <w:bottom w:val="single" w:sz="48" w:space="0" w:color="C0504D"/>
      </w:pBdr>
      <w:shd w:val="clear" w:color="auto" w:fill="C0504D"/>
      <w:spacing w:line="240" w:lineRule="auto"/>
      <w:jc w:val="center"/>
    </w:pPr>
    <w:rPr>
      <w:rFonts w:ascii="Cambria" w:hAnsi="Cambria" w:cs="Times New Roman"/>
      <w:i/>
      <w:color w:val="FFFFFF"/>
      <w:spacing w:val="10"/>
      <w:sz w:val="48"/>
      <w:szCs w:val="48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7132F"/>
    <w:rPr>
      <w:rFonts w:ascii="Cambria" w:hAnsi="Cambria"/>
      <w:i/>
      <w:color w:val="FFFFFF"/>
      <w:spacing w:val="10"/>
      <w:sz w:val="48"/>
      <w:shd w:val="clear" w:color="auto" w:fill="C0504D"/>
    </w:rPr>
  </w:style>
  <w:style w:type="paragraph" w:styleId="ListParagraph">
    <w:name w:val="List Paragraph"/>
    <w:basedOn w:val="Normal"/>
    <w:uiPriority w:val="99"/>
    <w:qFormat/>
    <w:rsid w:val="00171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1390"/>
    <w:pPr>
      <w:tabs>
        <w:tab w:val="center" w:pos="4536"/>
        <w:tab w:val="right" w:pos="9072"/>
      </w:tabs>
      <w:spacing w:line="240" w:lineRule="auto"/>
    </w:pPr>
    <w:rPr>
      <w:rFonts w:ascii="Calibri" w:hAnsi="Calibri" w:cs="Times New Roman"/>
      <w:iCs w:val="0"/>
      <w:sz w:val="22"/>
      <w:szCs w:val="22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1390"/>
    <w:rPr>
      <w:sz w:val="22"/>
    </w:rPr>
  </w:style>
  <w:style w:type="paragraph" w:styleId="Footer">
    <w:name w:val="footer"/>
    <w:basedOn w:val="Normal"/>
    <w:link w:val="FooterChar"/>
    <w:uiPriority w:val="99"/>
    <w:rsid w:val="00FD1390"/>
    <w:pPr>
      <w:tabs>
        <w:tab w:val="center" w:pos="4536"/>
        <w:tab w:val="right" w:pos="9072"/>
      </w:tabs>
      <w:spacing w:line="240" w:lineRule="auto"/>
    </w:pPr>
    <w:rPr>
      <w:rFonts w:ascii="Calibri" w:hAnsi="Calibri" w:cs="Times New Roman"/>
      <w:iCs w:val="0"/>
      <w:sz w:val="22"/>
      <w:szCs w:val="22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390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D1390"/>
    <w:pPr>
      <w:spacing w:line="240" w:lineRule="auto"/>
    </w:pPr>
    <w:rPr>
      <w:rFonts w:cs="Times New Roman"/>
      <w:iCs w:val="0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390"/>
    <w:rPr>
      <w:rFonts w:ascii="Tahoma" w:hAnsi="Tahoma"/>
      <w:sz w:val="16"/>
    </w:rPr>
  </w:style>
  <w:style w:type="paragraph" w:customStyle="1" w:styleId="Nagwek1">
    <w:name w:val="Nagłówek  1"/>
    <w:basedOn w:val="Heading3"/>
    <w:uiPriority w:val="99"/>
    <w:rsid w:val="00762679"/>
    <w:pPr>
      <w:pBdr>
        <w:top w:val="dotted" w:sz="4" w:space="1" w:color="984806"/>
        <w:bottom w:val="dotted" w:sz="4" w:space="1" w:color="984806"/>
      </w:pBdr>
    </w:pPr>
    <w:rPr>
      <w:rFonts w:ascii="Tahoma" w:hAnsi="Tahoma" w:cs="Tahoma"/>
      <w:color w:val="F1500F"/>
      <w:sz w:val="36"/>
    </w:rPr>
  </w:style>
  <w:style w:type="paragraph" w:customStyle="1" w:styleId="Nagwek2">
    <w:name w:val="Nagłówek  2"/>
    <w:basedOn w:val="Nagwek1"/>
    <w:uiPriority w:val="99"/>
    <w:rsid w:val="00F51DD1"/>
    <w:rPr>
      <w:color w:val="C00000"/>
    </w:rPr>
  </w:style>
  <w:style w:type="paragraph" w:styleId="Caption">
    <w:name w:val="caption"/>
    <w:basedOn w:val="Normal"/>
    <w:next w:val="Normal"/>
    <w:uiPriority w:val="99"/>
    <w:qFormat/>
    <w:rsid w:val="0017132F"/>
    <w:rPr>
      <w:b/>
      <w:bCs/>
      <w:color w:val="943634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7132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 w:cs="Times New Roman"/>
      <w:i/>
      <w:color w:val="622423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132F"/>
    <w:rPr>
      <w:rFonts w:ascii="Cambria" w:hAnsi="Cambria"/>
      <w:i/>
      <w:color w:val="622423"/>
      <w:sz w:val="24"/>
    </w:rPr>
  </w:style>
  <w:style w:type="character" w:styleId="Strong">
    <w:name w:val="Strong"/>
    <w:basedOn w:val="DefaultParagraphFont"/>
    <w:uiPriority w:val="99"/>
    <w:qFormat/>
    <w:rsid w:val="0017132F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17132F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17132F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17132F"/>
    <w:rPr>
      <w:rFonts w:ascii="Calibri" w:hAnsi="Calibri" w:cs="Times New Roman"/>
      <w:iCs w:val="0"/>
      <w:color w:val="943634"/>
      <w:lang w:eastAsia="pl-PL"/>
    </w:rPr>
  </w:style>
  <w:style w:type="character" w:customStyle="1" w:styleId="QuoteChar">
    <w:name w:val="Quote Char"/>
    <w:basedOn w:val="DefaultParagraphFont"/>
    <w:link w:val="Quote"/>
    <w:uiPriority w:val="99"/>
    <w:locked/>
    <w:rsid w:val="0017132F"/>
    <w:rPr>
      <w:color w:val="943634"/>
      <w:sz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7132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color w:val="C0504D"/>
      <w:lang w:eastAsia="pl-PL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7132F"/>
    <w:rPr>
      <w:rFonts w:ascii="Cambria" w:hAnsi="Cambria"/>
      <w:b/>
      <w:i/>
      <w:color w:val="C0504D"/>
      <w:sz w:val="20"/>
    </w:rPr>
  </w:style>
  <w:style w:type="character" w:styleId="SubtleEmphasis">
    <w:name w:val="Subtle Emphasis"/>
    <w:basedOn w:val="DefaultParagraphFont"/>
    <w:uiPriority w:val="99"/>
    <w:qFormat/>
    <w:rsid w:val="0017132F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17132F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17132F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17132F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6955CC"/>
    <w:rPr>
      <w:rFonts w:ascii="Tahoma" w:hAnsi="Tahoma"/>
      <w:smallCaps/>
      <w:sz w:val="24"/>
    </w:rPr>
  </w:style>
  <w:style w:type="paragraph" w:styleId="TOCHeading">
    <w:name w:val="TOC Heading"/>
    <w:basedOn w:val="Heading1"/>
    <w:next w:val="Normal"/>
    <w:uiPriority w:val="99"/>
    <w:qFormat/>
    <w:rsid w:val="0017132F"/>
    <w:pPr>
      <w:outlineLvl w:val="9"/>
    </w:pPr>
  </w:style>
  <w:style w:type="paragraph" w:customStyle="1" w:styleId="Nagwek3">
    <w:name w:val="Nagłówek  3"/>
    <w:basedOn w:val="Nagwek2"/>
    <w:uiPriority w:val="99"/>
    <w:rsid w:val="00762679"/>
    <w:pPr>
      <w:pBdr>
        <w:top w:val="none" w:sz="0" w:space="0" w:color="auto"/>
      </w:pBdr>
      <w:ind w:left="426"/>
    </w:pPr>
    <w:rPr>
      <w:sz w:val="32"/>
    </w:rPr>
  </w:style>
  <w:style w:type="character" w:styleId="Hyperlink">
    <w:name w:val="Hyperlink"/>
    <w:basedOn w:val="DefaultParagraphFont"/>
    <w:uiPriority w:val="99"/>
    <w:rsid w:val="002649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15A1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iCs w:val="0"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semiHidden/>
    <w:rsid w:val="00715A1F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82B4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82B41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2B41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2B41"/>
    <w:rPr>
      <w:b/>
    </w:rPr>
  </w:style>
  <w:style w:type="paragraph" w:styleId="DocumentMap">
    <w:name w:val="Document Map"/>
    <w:basedOn w:val="Normal"/>
    <w:link w:val="DocumentMapChar1"/>
    <w:uiPriority w:val="99"/>
    <w:semiHidden/>
    <w:rsid w:val="007F7D62"/>
    <w:rPr>
      <w:rFonts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7E35"/>
    <w:rPr>
      <w:rFonts w:ascii="Times New Roman" w:hAnsi="Times New Roman" w:cs="Tahoma"/>
      <w:iCs/>
      <w:sz w:val="0"/>
      <w:szCs w:val="0"/>
      <w:lang w:eastAsia="en-US"/>
    </w:rPr>
  </w:style>
  <w:style w:type="character" w:customStyle="1" w:styleId="DocumentMapChar1">
    <w:name w:val="Document Map Char1"/>
    <w:link w:val="DocumentMap"/>
    <w:uiPriority w:val="99"/>
    <w:semiHidden/>
    <w:locked/>
    <w:rsid w:val="007F7D62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i4future.pl/uczestnicy" TargetMode="External"/><Relationship Id="rId13" Type="http://schemas.openxmlformats.org/officeDocument/2006/relationships/hyperlink" Target="https://plus.google.com/100094853645999712084/photos?hl=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rgi.dpin.pl/rejestracja/" TargetMode="External"/><Relationship Id="rId12" Type="http://schemas.openxmlformats.org/officeDocument/2006/relationships/hyperlink" Target="http://spotkaniabrokerskie.pl/page.php/aktualnos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rgi4future.pl/page.php/aktualnosc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targi.dpin.pl/rejestracja/" TargetMode="External"/><Relationship Id="rId14" Type="http://schemas.openxmlformats.org/officeDocument/2006/relationships/hyperlink" Target="http://www.spotkania.parkow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1468</Words>
  <Characters>8812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Projektu Forum Parków 2013</dc:title>
  <dc:subject>Standard Projektu - SIW</dc:subject>
  <dc:creator>joanna.kij</dc:creator>
  <cp:keywords/>
  <dc:description/>
  <cp:lastModifiedBy>agapek</cp:lastModifiedBy>
  <cp:revision>2</cp:revision>
  <cp:lastPrinted>2013-04-03T06:57:00Z</cp:lastPrinted>
  <dcterms:created xsi:type="dcterms:W3CDTF">2013-04-16T11:44:00Z</dcterms:created>
  <dcterms:modified xsi:type="dcterms:W3CDTF">2013-04-16T11:44:00Z</dcterms:modified>
</cp:coreProperties>
</file>