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8A" w:rsidRDefault="0055128A" w:rsidP="004616B2">
      <w:pPr>
        <w:pStyle w:val="BodyText2"/>
        <w:jc w:val="right"/>
        <w:rPr>
          <w:b w:val="0"/>
          <w:sz w:val="20"/>
          <w:szCs w:val="20"/>
        </w:rPr>
      </w:pPr>
      <w:r>
        <w:rPr>
          <w:b w:val="0"/>
          <w:sz w:val="20"/>
          <w:szCs w:val="20"/>
        </w:rPr>
        <w:t>Załącznik do Uchwały Nr 184/15</w:t>
      </w:r>
    </w:p>
    <w:p w:rsidR="0055128A" w:rsidRDefault="0055128A" w:rsidP="004616B2">
      <w:pPr>
        <w:pStyle w:val="BodyText2"/>
        <w:jc w:val="right"/>
        <w:rPr>
          <w:b w:val="0"/>
          <w:sz w:val="20"/>
          <w:szCs w:val="20"/>
        </w:rPr>
      </w:pPr>
      <w:r>
        <w:rPr>
          <w:b w:val="0"/>
          <w:sz w:val="20"/>
          <w:szCs w:val="20"/>
        </w:rPr>
        <w:t>Zarządu Województwa Świętokrzyskiego</w:t>
      </w:r>
    </w:p>
    <w:p w:rsidR="0055128A" w:rsidRDefault="0055128A" w:rsidP="004616B2">
      <w:pPr>
        <w:pStyle w:val="BodyText2"/>
        <w:jc w:val="right"/>
        <w:rPr>
          <w:b w:val="0"/>
          <w:sz w:val="20"/>
          <w:szCs w:val="20"/>
        </w:rPr>
      </w:pPr>
      <w:r>
        <w:rPr>
          <w:b w:val="0"/>
          <w:sz w:val="20"/>
          <w:szCs w:val="20"/>
        </w:rPr>
        <w:t>z dnia 4 lutego 2015 roku</w:t>
      </w:r>
    </w:p>
    <w:p w:rsidR="0055128A" w:rsidRDefault="0055128A" w:rsidP="004616B2">
      <w:pPr>
        <w:pStyle w:val="BodyText2"/>
      </w:pPr>
    </w:p>
    <w:p w:rsidR="0055128A" w:rsidRDefault="0055128A" w:rsidP="004616B2">
      <w:pPr>
        <w:pStyle w:val="BodyText2"/>
      </w:pPr>
      <w:r>
        <w:t xml:space="preserve">Ogłoszenie </w:t>
      </w:r>
    </w:p>
    <w:p w:rsidR="0055128A" w:rsidRDefault="0055128A" w:rsidP="004616B2">
      <w:pPr>
        <w:pStyle w:val="BodyText2"/>
      </w:pPr>
      <w:r>
        <w:t>Zarządu Województwa Świętokrzyskiego</w:t>
      </w:r>
    </w:p>
    <w:p w:rsidR="0055128A" w:rsidRDefault="0055128A" w:rsidP="004616B2">
      <w:pPr>
        <w:pStyle w:val="Heading3"/>
        <w:jc w:val="both"/>
        <w:rPr>
          <w:b/>
          <w:sz w:val="36"/>
          <w:szCs w:val="24"/>
        </w:rPr>
      </w:pPr>
    </w:p>
    <w:p w:rsidR="0055128A" w:rsidRDefault="0055128A" w:rsidP="004616B2">
      <w:pPr>
        <w:rPr>
          <w:sz w:val="16"/>
          <w:szCs w:val="16"/>
        </w:rPr>
      </w:pPr>
    </w:p>
    <w:p w:rsidR="0055128A" w:rsidRPr="00622978" w:rsidRDefault="0055128A" w:rsidP="00924372">
      <w:pPr>
        <w:pStyle w:val="Heading3"/>
        <w:jc w:val="both"/>
        <w:rPr>
          <w:b/>
          <w:szCs w:val="24"/>
        </w:rPr>
      </w:pPr>
      <w:r w:rsidRPr="00622978">
        <w:rPr>
          <w:b/>
          <w:szCs w:val="24"/>
        </w:rPr>
        <w:t>w sprawie ogłoszenia otwartego konkursu ofert na wsparcie realizacji zadań publicznych z zakresu działań na rzecz ekologii i ochrony zwierząt oraz ochrony dziedzictwa przyrodniczego w 201</w:t>
      </w:r>
      <w:r>
        <w:rPr>
          <w:b/>
          <w:szCs w:val="24"/>
        </w:rPr>
        <w:t>5</w:t>
      </w:r>
      <w:r w:rsidRPr="00622978">
        <w:rPr>
          <w:b/>
          <w:szCs w:val="24"/>
        </w:rPr>
        <w:t xml:space="preserve"> roku</w:t>
      </w:r>
    </w:p>
    <w:p w:rsidR="0055128A" w:rsidRDefault="0055128A" w:rsidP="004616B2"/>
    <w:p w:rsidR="0055128A" w:rsidRPr="00D27C41" w:rsidRDefault="0055128A" w:rsidP="004616B2">
      <w:pPr>
        <w:pStyle w:val="BodyText"/>
        <w:ind w:firstLine="360"/>
        <w:jc w:val="both"/>
        <w:rPr>
          <w:sz w:val="24"/>
        </w:rPr>
      </w:pPr>
      <w:r w:rsidRPr="00D27C41">
        <w:rPr>
          <w:sz w:val="24"/>
        </w:rPr>
        <w:t xml:space="preserve">Zarząd Województwa Świętokrzyskiego ogłasza otwarty konkurs ofert na wsparcie zadań z zakresu działań na rzecz ekologii i ochrony zwierząt oraz ochrony dziedzictwa przyrodniczego. </w:t>
      </w:r>
    </w:p>
    <w:p w:rsidR="0055128A" w:rsidRDefault="0055128A" w:rsidP="004616B2">
      <w:pPr>
        <w:pStyle w:val="BodyText"/>
        <w:jc w:val="both"/>
        <w:rPr>
          <w:sz w:val="24"/>
        </w:rPr>
      </w:pPr>
      <w:r w:rsidRPr="000F2428">
        <w:rPr>
          <w:sz w:val="24"/>
        </w:rPr>
        <w:t>W konkursie mogą b</w:t>
      </w:r>
      <w:r>
        <w:rPr>
          <w:sz w:val="24"/>
        </w:rPr>
        <w:t xml:space="preserve">rać udział podmioty określone w </w:t>
      </w:r>
      <w:r w:rsidRPr="000F2428">
        <w:rPr>
          <w:sz w:val="24"/>
        </w:rPr>
        <w:t xml:space="preserve">art. 3, ust. 2 i 3 ustawy z dnia 24 kwietnia 2003 r. o działalności pożytku publicznego i o wolontariacie </w:t>
      </w:r>
      <w:r>
        <w:rPr>
          <w:sz w:val="24"/>
        </w:rPr>
        <w:t xml:space="preserve">(t.j. </w:t>
      </w:r>
      <w:r w:rsidRPr="000F2428">
        <w:rPr>
          <w:sz w:val="24"/>
        </w:rPr>
        <w:t>Dz. U. z 201</w:t>
      </w:r>
      <w:r>
        <w:rPr>
          <w:sz w:val="24"/>
        </w:rPr>
        <w:t>4</w:t>
      </w:r>
      <w:r w:rsidRPr="000F2428">
        <w:rPr>
          <w:sz w:val="24"/>
        </w:rPr>
        <w:t xml:space="preserve">r. </w:t>
      </w:r>
      <w:r w:rsidRPr="000F2428">
        <w:rPr>
          <w:sz w:val="24"/>
        </w:rPr>
        <w:br/>
        <w:t xml:space="preserve">poz. </w:t>
      </w:r>
      <w:r>
        <w:rPr>
          <w:sz w:val="24"/>
        </w:rPr>
        <w:t>1118 z późn. zm.)</w:t>
      </w:r>
      <w:r w:rsidRPr="000F2428">
        <w:rPr>
          <w:sz w:val="24"/>
        </w:rPr>
        <w:t>. Celem konkursu ofert będzie wsparcie zadań publicznych województwa</w:t>
      </w:r>
      <w:r>
        <w:rPr>
          <w:sz w:val="24"/>
        </w:rPr>
        <w:t xml:space="preserve"> w 2015 roku pn.:</w:t>
      </w:r>
    </w:p>
    <w:p w:rsidR="0055128A" w:rsidRDefault="0055128A" w:rsidP="004616B2">
      <w:pPr>
        <w:pStyle w:val="BodyText"/>
        <w:ind w:firstLine="360"/>
        <w:jc w:val="both"/>
        <w:rPr>
          <w:sz w:val="24"/>
        </w:rPr>
      </w:pPr>
    </w:p>
    <w:p w:rsidR="0055128A" w:rsidRPr="00E121D8" w:rsidRDefault="0055128A" w:rsidP="001045BF">
      <w:pPr>
        <w:pStyle w:val="BodyText"/>
        <w:numPr>
          <w:ilvl w:val="0"/>
          <w:numId w:val="1"/>
        </w:numPr>
        <w:tabs>
          <w:tab w:val="num" w:pos="360"/>
        </w:tabs>
        <w:ind w:left="360"/>
        <w:jc w:val="both"/>
        <w:rPr>
          <w:b/>
          <w:i/>
          <w:sz w:val="24"/>
        </w:rPr>
      </w:pPr>
      <w:r w:rsidRPr="00E121D8">
        <w:rPr>
          <w:b/>
          <w:i/>
          <w:sz w:val="24"/>
        </w:rPr>
        <w:t xml:space="preserve"> Organizowanie konkursów, olimpiad, konferencji i seminariów popularyzujących zagadnienia dotyczące ochrony środowiska i przyrody – 2</w:t>
      </w:r>
      <w:r>
        <w:rPr>
          <w:b/>
          <w:i/>
          <w:sz w:val="24"/>
        </w:rPr>
        <w:t>0</w:t>
      </w:r>
      <w:r w:rsidRPr="00E121D8">
        <w:rPr>
          <w:b/>
          <w:i/>
          <w:sz w:val="24"/>
        </w:rPr>
        <w:t xml:space="preserve"> 000,00 zł.</w:t>
      </w:r>
    </w:p>
    <w:p w:rsidR="0055128A" w:rsidRPr="00E121D8" w:rsidRDefault="0055128A" w:rsidP="004616B2">
      <w:pPr>
        <w:pStyle w:val="BodyText"/>
        <w:jc w:val="both"/>
        <w:rPr>
          <w:b/>
          <w:i/>
          <w:sz w:val="24"/>
        </w:rPr>
      </w:pPr>
    </w:p>
    <w:p w:rsidR="0055128A" w:rsidRPr="00E121D8" w:rsidRDefault="0055128A" w:rsidP="004616B2">
      <w:pPr>
        <w:pStyle w:val="BodyText"/>
        <w:numPr>
          <w:ilvl w:val="0"/>
          <w:numId w:val="1"/>
        </w:numPr>
        <w:tabs>
          <w:tab w:val="num" w:pos="360"/>
        </w:tabs>
        <w:ind w:left="360"/>
        <w:jc w:val="both"/>
        <w:rPr>
          <w:b/>
          <w:i/>
          <w:sz w:val="24"/>
        </w:rPr>
      </w:pPr>
      <w:r w:rsidRPr="00E121D8">
        <w:rPr>
          <w:b/>
          <w:i/>
          <w:sz w:val="24"/>
        </w:rPr>
        <w:t xml:space="preserve"> Opracowywanie i wydawanie niskonakładowych, niekomercyjnych materiałów wydawniczych związanych z ochroną środowiska i przyrody - 15 000,00 zł.</w:t>
      </w:r>
    </w:p>
    <w:p w:rsidR="0055128A" w:rsidRPr="00E121D8" w:rsidRDefault="0055128A" w:rsidP="001045BF">
      <w:pPr>
        <w:pStyle w:val="ListParagraph"/>
        <w:rPr>
          <w:b/>
          <w:i/>
        </w:rPr>
      </w:pPr>
    </w:p>
    <w:p w:rsidR="0055128A" w:rsidRPr="00CD41CD" w:rsidRDefault="0055128A" w:rsidP="006978C1">
      <w:pPr>
        <w:pStyle w:val="ListParagraph"/>
        <w:numPr>
          <w:ilvl w:val="0"/>
          <w:numId w:val="1"/>
        </w:numPr>
        <w:tabs>
          <w:tab w:val="num" w:pos="360"/>
        </w:tabs>
        <w:ind w:left="360"/>
        <w:jc w:val="both"/>
        <w:rPr>
          <w:b/>
          <w:i/>
        </w:rPr>
      </w:pPr>
      <w:r w:rsidRPr="00CD41CD">
        <w:rPr>
          <w:b/>
          <w:i/>
        </w:rPr>
        <w:t xml:space="preserve">Działania edukacyjne związane z zieloną infrastrukturą – ścieżki przyrodniczo-edukacyjne – </w:t>
      </w:r>
      <w:r>
        <w:rPr>
          <w:b/>
          <w:i/>
        </w:rPr>
        <w:t>10</w:t>
      </w:r>
      <w:r w:rsidRPr="00CD41CD">
        <w:rPr>
          <w:b/>
          <w:i/>
        </w:rPr>
        <w:t> 000,00 zł.</w:t>
      </w:r>
    </w:p>
    <w:p w:rsidR="0055128A" w:rsidRDefault="0055128A" w:rsidP="004616B2">
      <w:pPr>
        <w:pStyle w:val="BodyText"/>
        <w:rPr>
          <w:sz w:val="24"/>
        </w:rPr>
      </w:pPr>
    </w:p>
    <w:p w:rsidR="0055128A" w:rsidRDefault="0055128A" w:rsidP="004616B2">
      <w:pPr>
        <w:pStyle w:val="BodyText"/>
        <w:ind w:firstLine="360"/>
        <w:jc w:val="both"/>
        <w:rPr>
          <w:i/>
          <w:sz w:val="24"/>
        </w:rPr>
      </w:pPr>
      <w:r>
        <w:rPr>
          <w:i/>
          <w:sz w:val="24"/>
        </w:rPr>
        <w:t xml:space="preserve">Wysokość środków publicznych przeznaczonych na wsparcie realizacji zadań z zakresu ekologii i ochrony zwierząt oraz ochrony dziedzictwa przyrodniczego w 2015 roku wynosi ogółem </w:t>
      </w:r>
      <w:r>
        <w:rPr>
          <w:b/>
          <w:i/>
          <w:sz w:val="24"/>
        </w:rPr>
        <w:t>45 000,00 zł.</w:t>
      </w:r>
    </w:p>
    <w:p w:rsidR="0055128A" w:rsidRDefault="0055128A" w:rsidP="004616B2">
      <w:pPr>
        <w:pStyle w:val="BodyText"/>
        <w:rPr>
          <w:b/>
          <w:i/>
          <w:sz w:val="24"/>
        </w:rPr>
      </w:pPr>
    </w:p>
    <w:p w:rsidR="0055128A" w:rsidRPr="00D27C41" w:rsidRDefault="0055128A" w:rsidP="004616B2">
      <w:pPr>
        <w:pStyle w:val="BodyText"/>
        <w:jc w:val="both"/>
        <w:rPr>
          <w:b/>
          <w:sz w:val="24"/>
          <w:u w:val="single"/>
        </w:rPr>
      </w:pPr>
      <w:r w:rsidRPr="00D27C41">
        <w:rPr>
          <w:b/>
          <w:sz w:val="24"/>
          <w:u w:val="single"/>
        </w:rPr>
        <w:t>Zasady przyznawania dotacji</w:t>
      </w:r>
    </w:p>
    <w:p w:rsidR="0055128A" w:rsidRPr="00D27C41" w:rsidRDefault="0055128A" w:rsidP="004616B2">
      <w:pPr>
        <w:pStyle w:val="BodyText"/>
        <w:jc w:val="both"/>
        <w:rPr>
          <w:sz w:val="24"/>
        </w:rPr>
      </w:pPr>
    </w:p>
    <w:p w:rsidR="0055128A" w:rsidRPr="00D27C41" w:rsidRDefault="0055128A" w:rsidP="004616B2">
      <w:pPr>
        <w:pStyle w:val="BodyText"/>
        <w:numPr>
          <w:ilvl w:val="1"/>
          <w:numId w:val="2"/>
        </w:numPr>
        <w:tabs>
          <w:tab w:val="num" w:pos="360"/>
        </w:tabs>
        <w:ind w:left="360"/>
        <w:jc w:val="both"/>
        <w:rPr>
          <w:sz w:val="24"/>
        </w:rPr>
      </w:pPr>
      <w:r w:rsidRPr="00D27C41">
        <w:rPr>
          <w:sz w:val="24"/>
        </w:rPr>
        <w:t>O dotację mogą ubiegać się oferenci spełniający następujące warunki:</w:t>
      </w:r>
    </w:p>
    <w:p w:rsidR="0055128A" w:rsidRPr="00D27C41" w:rsidRDefault="0055128A" w:rsidP="00740098">
      <w:pPr>
        <w:pStyle w:val="BodyText"/>
        <w:numPr>
          <w:ilvl w:val="0"/>
          <w:numId w:val="5"/>
        </w:numPr>
        <w:tabs>
          <w:tab w:val="num" w:pos="709"/>
        </w:tabs>
        <w:ind w:left="709" w:hanging="425"/>
        <w:jc w:val="both"/>
        <w:rPr>
          <w:sz w:val="24"/>
        </w:rPr>
      </w:pPr>
      <w:r w:rsidRPr="00D27C41">
        <w:rPr>
          <w:sz w:val="24"/>
        </w:rPr>
        <w:t>cele statutowe oferenta są zgodne z dziedziną, w jakiej realizowane jest zadanie,</w:t>
      </w:r>
    </w:p>
    <w:p w:rsidR="0055128A" w:rsidRPr="00D27C41" w:rsidRDefault="0055128A" w:rsidP="00740098">
      <w:pPr>
        <w:pStyle w:val="BodyText"/>
        <w:numPr>
          <w:ilvl w:val="0"/>
          <w:numId w:val="5"/>
        </w:numPr>
        <w:tabs>
          <w:tab w:val="num" w:pos="709"/>
        </w:tabs>
        <w:ind w:left="709" w:hanging="425"/>
        <w:jc w:val="both"/>
        <w:rPr>
          <w:sz w:val="24"/>
        </w:rPr>
      </w:pPr>
      <w:r w:rsidRPr="00D27C41">
        <w:rPr>
          <w:sz w:val="24"/>
        </w:rPr>
        <w:t>prowadzi działalność na terenie województwa świętokrzyskiego,</w:t>
      </w:r>
    </w:p>
    <w:p w:rsidR="0055128A" w:rsidRPr="00D27C41" w:rsidRDefault="0055128A" w:rsidP="00740098">
      <w:pPr>
        <w:pStyle w:val="BodyText"/>
        <w:numPr>
          <w:ilvl w:val="0"/>
          <w:numId w:val="5"/>
        </w:numPr>
        <w:tabs>
          <w:tab w:val="num" w:pos="709"/>
        </w:tabs>
        <w:ind w:left="709" w:hanging="425"/>
        <w:jc w:val="both"/>
        <w:rPr>
          <w:sz w:val="24"/>
        </w:rPr>
      </w:pPr>
      <w:r w:rsidRPr="00D27C41">
        <w:rPr>
          <w:sz w:val="24"/>
        </w:rPr>
        <w:t>oferent posiada własne konto bankowe.</w:t>
      </w:r>
    </w:p>
    <w:p w:rsidR="0055128A" w:rsidRPr="00D27C41" w:rsidRDefault="0055128A" w:rsidP="004616B2">
      <w:pPr>
        <w:pStyle w:val="BodyText"/>
        <w:numPr>
          <w:ilvl w:val="1"/>
          <w:numId w:val="2"/>
        </w:numPr>
        <w:tabs>
          <w:tab w:val="num" w:pos="360"/>
        </w:tabs>
        <w:ind w:left="360"/>
        <w:jc w:val="both"/>
        <w:rPr>
          <w:sz w:val="24"/>
        </w:rPr>
      </w:pPr>
      <w:r w:rsidRPr="00D27C41">
        <w:rPr>
          <w:sz w:val="24"/>
        </w:rPr>
        <w:t xml:space="preserve">Dotacja może być przyznana jedynie na wsparcie zadań, o których mowa </w:t>
      </w:r>
      <w:r>
        <w:rPr>
          <w:sz w:val="24"/>
        </w:rPr>
        <w:br/>
      </w:r>
      <w:r w:rsidRPr="00D27C41">
        <w:rPr>
          <w:sz w:val="24"/>
        </w:rPr>
        <w:t>w ogłoszeniu konkursowym.</w:t>
      </w:r>
    </w:p>
    <w:p w:rsidR="0055128A" w:rsidRPr="00D27C41" w:rsidRDefault="0055128A" w:rsidP="004616B2">
      <w:pPr>
        <w:pStyle w:val="BodyText"/>
        <w:numPr>
          <w:ilvl w:val="1"/>
          <w:numId w:val="2"/>
        </w:numPr>
        <w:tabs>
          <w:tab w:val="num" w:pos="360"/>
        </w:tabs>
        <w:ind w:left="360"/>
        <w:jc w:val="both"/>
        <w:rPr>
          <w:sz w:val="24"/>
        </w:rPr>
      </w:pPr>
      <w:r w:rsidRPr="00D27C41">
        <w:rPr>
          <w:sz w:val="24"/>
        </w:rPr>
        <w:t xml:space="preserve">Złożenie oferty </w:t>
      </w:r>
      <w:r w:rsidRPr="00D27C41">
        <w:rPr>
          <w:b/>
          <w:i/>
          <w:sz w:val="24"/>
        </w:rPr>
        <w:t>nie gwarantuje przyznania dotacji</w:t>
      </w:r>
      <w:r w:rsidRPr="00D27C41">
        <w:rPr>
          <w:sz w:val="24"/>
        </w:rPr>
        <w:t xml:space="preserve">. </w:t>
      </w:r>
    </w:p>
    <w:p w:rsidR="0055128A" w:rsidRPr="00D27C41" w:rsidRDefault="0055128A" w:rsidP="002B5F31">
      <w:pPr>
        <w:pStyle w:val="BodyText"/>
        <w:numPr>
          <w:ilvl w:val="1"/>
          <w:numId w:val="2"/>
        </w:numPr>
        <w:tabs>
          <w:tab w:val="num" w:pos="360"/>
        </w:tabs>
        <w:ind w:left="360"/>
        <w:jc w:val="both"/>
        <w:rPr>
          <w:sz w:val="24"/>
        </w:rPr>
      </w:pPr>
      <w:r w:rsidRPr="00D27C41">
        <w:rPr>
          <w:sz w:val="24"/>
        </w:rPr>
        <w:t>Podmiot ubiegający się o dotację może złożyć tylko jedną ofertę na każde z zadań.</w:t>
      </w:r>
    </w:p>
    <w:p w:rsidR="0055128A" w:rsidRPr="00D27C41" w:rsidRDefault="0055128A" w:rsidP="004616B2">
      <w:pPr>
        <w:pStyle w:val="BodyText"/>
        <w:numPr>
          <w:ilvl w:val="1"/>
          <w:numId w:val="2"/>
        </w:numPr>
        <w:tabs>
          <w:tab w:val="num" w:pos="360"/>
        </w:tabs>
        <w:ind w:left="360"/>
        <w:jc w:val="both"/>
        <w:rPr>
          <w:sz w:val="24"/>
        </w:rPr>
      </w:pPr>
      <w:r w:rsidRPr="00D27C41">
        <w:rPr>
          <w:sz w:val="24"/>
        </w:rPr>
        <w:t xml:space="preserve">Rozpatrywane będą </w:t>
      </w:r>
      <w:r w:rsidRPr="00D27C41">
        <w:rPr>
          <w:b/>
          <w:sz w:val="24"/>
        </w:rPr>
        <w:t>wyłącznie oferty kompletne i prawidłowe</w:t>
      </w:r>
      <w:r w:rsidRPr="00D27C41">
        <w:rPr>
          <w:sz w:val="24"/>
        </w:rPr>
        <w:t xml:space="preserve">, złożone według obowiązującego w dniu składania oferty wzoru.  </w:t>
      </w:r>
    </w:p>
    <w:p w:rsidR="0055128A" w:rsidRDefault="0055128A" w:rsidP="004616B2">
      <w:pPr>
        <w:pStyle w:val="BodyText"/>
        <w:numPr>
          <w:ilvl w:val="1"/>
          <w:numId w:val="2"/>
        </w:numPr>
        <w:tabs>
          <w:tab w:val="num" w:pos="360"/>
        </w:tabs>
        <w:ind w:left="360"/>
        <w:jc w:val="both"/>
        <w:rPr>
          <w:sz w:val="24"/>
        </w:rPr>
      </w:pPr>
      <w:r>
        <w:rPr>
          <w:sz w:val="24"/>
        </w:rPr>
        <w:t>Podmioty, których oferty zostaną zarekomendowane przez Komisję Konkursową będą mogły otrzymać dotację na podstawie pozytywnej decyzji Zarządu Województwa Świętokrzyskiego. Dotacja zostanie przekazana na mocy umowy, której wzór określa przywołanego poniżej rozporządzenie.</w:t>
      </w:r>
    </w:p>
    <w:p w:rsidR="0055128A" w:rsidRDefault="0055128A" w:rsidP="004616B2">
      <w:pPr>
        <w:pStyle w:val="BodyText"/>
        <w:numPr>
          <w:ilvl w:val="1"/>
          <w:numId w:val="2"/>
        </w:numPr>
        <w:tabs>
          <w:tab w:val="num" w:pos="360"/>
        </w:tabs>
        <w:ind w:left="360"/>
        <w:jc w:val="both"/>
        <w:rPr>
          <w:sz w:val="24"/>
        </w:rPr>
      </w:pPr>
      <w:r>
        <w:rPr>
          <w:sz w:val="24"/>
        </w:rPr>
        <w:t>W przypadku, gdy suma dofinansowania zgłoszonych ofert przekracza wysokość środków przeznaczonych na wsparcie zadania, organizator konkursu zastrzega sobie możliwość proporcjonalnego zmniejszenia wielkości dofinansowania, stosownie do posiadanych środków. W tym przypadku organizator będzie żądał przedstawienia zaktualizowanego kosztorysu, zakresu i harmonogramu realizacji zadania dostosowanego do wysokości przyznanych środków</w:t>
      </w:r>
    </w:p>
    <w:p w:rsidR="0055128A" w:rsidRDefault="0055128A" w:rsidP="004616B2">
      <w:pPr>
        <w:pStyle w:val="BodyText"/>
        <w:numPr>
          <w:ilvl w:val="1"/>
          <w:numId w:val="2"/>
        </w:numPr>
        <w:tabs>
          <w:tab w:val="num" w:pos="360"/>
        </w:tabs>
        <w:ind w:left="360"/>
        <w:jc w:val="both"/>
        <w:rPr>
          <w:sz w:val="24"/>
        </w:rPr>
      </w:pPr>
      <w:r>
        <w:rPr>
          <w:sz w:val="24"/>
        </w:rPr>
        <w:t>Zarząd Województwa przyznając dotacje może wskazać pozycje z kosztorysu objęte dofinansowaniem z budżetu Województwa Świętokrzyskiego.</w:t>
      </w:r>
    </w:p>
    <w:p w:rsidR="0055128A" w:rsidRPr="00F73317" w:rsidRDefault="0055128A" w:rsidP="004616B2">
      <w:pPr>
        <w:pStyle w:val="BodyText"/>
        <w:numPr>
          <w:ilvl w:val="1"/>
          <w:numId w:val="2"/>
        </w:numPr>
        <w:tabs>
          <w:tab w:val="num" w:pos="360"/>
        </w:tabs>
        <w:ind w:left="360"/>
        <w:jc w:val="both"/>
        <w:rPr>
          <w:sz w:val="24"/>
        </w:rPr>
      </w:pPr>
      <w:r w:rsidRPr="00F73317">
        <w:rPr>
          <w:sz w:val="24"/>
        </w:rPr>
        <w:t>Koszty ponoszone w ramach realizacji zadania są kwalifikowane, jeżeli:</w:t>
      </w:r>
    </w:p>
    <w:p w:rsidR="0055128A" w:rsidRPr="00F73317" w:rsidRDefault="0055128A" w:rsidP="00AD26F3">
      <w:pPr>
        <w:pStyle w:val="NormalWeb"/>
        <w:numPr>
          <w:ilvl w:val="1"/>
          <w:numId w:val="6"/>
        </w:numPr>
        <w:tabs>
          <w:tab w:val="clear" w:pos="1260"/>
          <w:tab w:val="num" w:pos="709"/>
        </w:tabs>
        <w:ind w:left="709" w:hanging="283"/>
        <w:jc w:val="both"/>
      </w:pPr>
      <w:r>
        <w:t>s</w:t>
      </w:r>
      <w:r w:rsidRPr="00F73317">
        <w:t>ą</w:t>
      </w:r>
      <w:r>
        <w:t xml:space="preserve"> związane bezpośrednio z realizowanym zadaniem,</w:t>
      </w:r>
      <w:r w:rsidRPr="00F73317">
        <w:t xml:space="preserve"> niezbędne do </w:t>
      </w:r>
      <w:r>
        <w:t>jego realizacji</w:t>
      </w:r>
      <w:r w:rsidRPr="00F73317">
        <w:t xml:space="preserve">, </w:t>
      </w:r>
    </w:p>
    <w:p w:rsidR="0055128A" w:rsidRPr="00F73317" w:rsidRDefault="0055128A" w:rsidP="00AD26F3">
      <w:pPr>
        <w:pStyle w:val="NormalWeb"/>
        <w:numPr>
          <w:ilvl w:val="1"/>
          <w:numId w:val="6"/>
        </w:numPr>
        <w:tabs>
          <w:tab w:val="clear" w:pos="1260"/>
          <w:tab w:val="num" w:pos="709"/>
        </w:tabs>
        <w:ind w:left="709" w:hanging="283"/>
        <w:jc w:val="both"/>
      </w:pPr>
      <w:r w:rsidRPr="00F73317">
        <w:t>zostały faktycznie poniesione (tzn. nastąpił rozchód środków finansowych z kasy lub rachunku bankowego oferenta na podstawie faktury lub innego dokumentu księgowego),</w:t>
      </w:r>
    </w:p>
    <w:p w:rsidR="0055128A" w:rsidRDefault="0055128A" w:rsidP="00AD26F3">
      <w:pPr>
        <w:pStyle w:val="NormalWeb"/>
        <w:numPr>
          <w:ilvl w:val="1"/>
          <w:numId w:val="6"/>
        </w:numPr>
        <w:tabs>
          <w:tab w:val="clear" w:pos="1260"/>
          <w:tab w:val="num" w:pos="709"/>
        </w:tabs>
        <w:ind w:left="709" w:hanging="283"/>
        <w:jc w:val="both"/>
      </w:pPr>
      <w:r w:rsidRPr="00F73317">
        <w:t>są udokumentowane dowodami księgowymi</w:t>
      </w:r>
      <w:r>
        <w:t xml:space="preserve"> (faktury, umowy, rachunki do umów),</w:t>
      </w:r>
    </w:p>
    <w:p w:rsidR="0055128A" w:rsidRPr="00AD26F3" w:rsidRDefault="0055128A" w:rsidP="00AD26F3">
      <w:pPr>
        <w:pStyle w:val="NormalWeb"/>
        <w:tabs>
          <w:tab w:val="num" w:pos="709"/>
        </w:tabs>
        <w:ind w:left="709"/>
        <w:jc w:val="both"/>
        <w:rPr>
          <w:i/>
        </w:rPr>
      </w:pPr>
      <w:r w:rsidRPr="00AD26F3">
        <w:rPr>
          <w:i/>
        </w:rPr>
        <w:t>UWAGA! Wkład osobowy powinien być udokumentowany zawartymi porozumieniami z wolontariuszami/lub kartami pracy natomiast praca członków organizacji oświadczeniami</w:t>
      </w:r>
      <w:r>
        <w:rPr>
          <w:i/>
        </w:rPr>
        <w:t xml:space="preserve"> o wykonaniu powierzonych zadań.</w:t>
      </w:r>
    </w:p>
    <w:p w:rsidR="0055128A" w:rsidRPr="00F73317" w:rsidRDefault="0055128A" w:rsidP="00AD26F3">
      <w:pPr>
        <w:pStyle w:val="NormalWeb"/>
        <w:numPr>
          <w:ilvl w:val="1"/>
          <w:numId w:val="6"/>
        </w:numPr>
        <w:tabs>
          <w:tab w:val="clear" w:pos="1260"/>
          <w:tab w:val="num" w:pos="709"/>
        </w:tabs>
        <w:ind w:left="709" w:hanging="283"/>
        <w:jc w:val="both"/>
      </w:pPr>
      <w:r w:rsidRPr="00F73317">
        <w:t xml:space="preserve">zostały wydatkowane zgodnie z przepisami ustawy </w:t>
      </w:r>
      <w:r w:rsidRPr="00993432">
        <w:t>z dnia 29 stycznia 2004 r.</w:t>
      </w:r>
      <w:r w:rsidRPr="00F73317">
        <w:t xml:space="preserve"> Prawo zamówień publicznych.</w:t>
      </w:r>
    </w:p>
    <w:p w:rsidR="0055128A" w:rsidRPr="00F73317" w:rsidRDefault="0055128A" w:rsidP="004616B2">
      <w:pPr>
        <w:pStyle w:val="ListParagraph"/>
        <w:numPr>
          <w:ilvl w:val="1"/>
          <w:numId w:val="2"/>
        </w:numPr>
        <w:tabs>
          <w:tab w:val="clear" w:pos="1440"/>
        </w:tabs>
        <w:spacing w:before="120" w:after="120"/>
        <w:ind w:left="426" w:hanging="426"/>
        <w:jc w:val="both"/>
      </w:pPr>
      <w:r w:rsidRPr="00F73317">
        <w:t>Koszty kwalifikowane stanowią w szczególności wydatki poniesione na:</w:t>
      </w:r>
    </w:p>
    <w:p w:rsidR="0055128A" w:rsidRPr="00F73317" w:rsidRDefault="0055128A" w:rsidP="004D459D">
      <w:pPr>
        <w:numPr>
          <w:ilvl w:val="0"/>
          <w:numId w:val="7"/>
        </w:numPr>
        <w:tabs>
          <w:tab w:val="clear" w:pos="2160"/>
          <w:tab w:val="num" w:pos="567"/>
        </w:tabs>
        <w:ind w:left="567" w:hanging="283"/>
        <w:jc w:val="both"/>
      </w:pPr>
      <w:r>
        <w:t>nagrody rzeczowe dla laureatów konkursów,</w:t>
      </w:r>
    </w:p>
    <w:p w:rsidR="0055128A" w:rsidRPr="00F73317" w:rsidRDefault="0055128A" w:rsidP="004D459D">
      <w:pPr>
        <w:numPr>
          <w:ilvl w:val="0"/>
          <w:numId w:val="7"/>
        </w:numPr>
        <w:tabs>
          <w:tab w:val="clear" w:pos="2160"/>
          <w:tab w:val="num" w:pos="567"/>
        </w:tabs>
        <w:ind w:left="567" w:hanging="283"/>
        <w:jc w:val="both"/>
      </w:pPr>
      <w:r w:rsidRPr="00F73317">
        <w:t>honoraria i wynagrodzenia dla osób bezpośrednio zatrudnionych przy realizacji zadania na pod</w:t>
      </w:r>
      <w:r>
        <w:t>stawie umowy o dzieło/zlecenia – stanowiące do 20% wartości zadania,</w:t>
      </w:r>
    </w:p>
    <w:p w:rsidR="0055128A" w:rsidRPr="00F73317" w:rsidRDefault="0055128A" w:rsidP="004D459D">
      <w:pPr>
        <w:numPr>
          <w:ilvl w:val="0"/>
          <w:numId w:val="7"/>
        </w:numPr>
        <w:tabs>
          <w:tab w:val="clear" w:pos="2160"/>
          <w:tab w:val="num" w:pos="567"/>
        </w:tabs>
        <w:ind w:left="567" w:hanging="283"/>
        <w:jc w:val="both"/>
      </w:pPr>
      <w:r w:rsidRPr="00F73317">
        <w:t xml:space="preserve">wyżywienie dla uczestników </w:t>
      </w:r>
      <w:r>
        <w:t>imprez</w:t>
      </w:r>
      <w:r w:rsidRPr="00F73317">
        <w:t>,</w:t>
      </w:r>
    </w:p>
    <w:p w:rsidR="0055128A" w:rsidRPr="00F73317" w:rsidRDefault="0055128A" w:rsidP="004D459D">
      <w:pPr>
        <w:numPr>
          <w:ilvl w:val="0"/>
          <w:numId w:val="7"/>
        </w:numPr>
        <w:tabs>
          <w:tab w:val="clear" w:pos="2160"/>
          <w:tab w:val="num" w:pos="567"/>
        </w:tabs>
        <w:ind w:left="567" w:hanging="283"/>
        <w:jc w:val="both"/>
      </w:pPr>
      <w:r w:rsidRPr="00F73317">
        <w:t>zakup materiałów niezbędnych do realizacji zadania,</w:t>
      </w:r>
    </w:p>
    <w:p w:rsidR="0055128A" w:rsidRDefault="0055128A" w:rsidP="004D459D">
      <w:pPr>
        <w:numPr>
          <w:ilvl w:val="0"/>
          <w:numId w:val="7"/>
        </w:numPr>
        <w:tabs>
          <w:tab w:val="clear" w:pos="2160"/>
          <w:tab w:val="num" w:pos="567"/>
        </w:tabs>
        <w:ind w:left="567" w:hanging="283"/>
        <w:jc w:val="both"/>
      </w:pPr>
      <w:r w:rsidRPr="00F73317">
        <w:t xml:space="preserve">wynajem urządzeń technicznych niezbędnych dla wykonania zadania </w:t>
      </w:r>
      <w:r w:rsidRPr="00F73317">
        <w:br/>
        <w:t>(np. nagłośnienie, oświetlenie, scena itd.),</w:t>
      </w:r>
    </w:p>
    <w:p w:rsidR="0055128A" w:rsidRPr="00F73317" w:rsidRDefault="0055128A" w:rsidP="004D459D">
      <w:pPr>
        <w:numPr>
          <w:ilvl w:val="0"/>
          <w:numId w:val="7"/>
        </w:numPr>
        <w:tabs>
          <w:tab w:val="clear" w:pos="2160"/>
          <w:tab w:val="num" w:pos="567"/>
        </w:tabs>
        <w:ind w:left="567" w:hanging="283"/>
        <w:jc w:val="both"/>
      </w:pPr>
      <w:r>
        <w:t>koszty wykonania upominków okolicznościowych dla uczestników imprez: znaczki/dyplomy/koszulki/medale,</w:t>
      </w:r>
    </w:p>
    <w:p w:rsidR="0055128A" w:rsidRPr="00F73317" w:rsidRDefault="0055128A" w:rsidP="004D459D">
      <w:pPr>
        <w:numPr>
          <w:ilvl w:val="0"/>
          <w:numId w:val="7"/>
        </w:numPr>
        <w:tabs>
          <w:tab w:val="clear" w:pos="2160"/>
          <w:tab w:val="num" w:pos="567"/>
        </w:tabs>
        <w:ind w:left="567" w:hanging="283"/>
        <w:jc w:val="both"/>
      </w:pPr>
      <w:r w:rsidRPr="00F73317">
        <w:t>wynajem pomieszczeń (sal widowiskowych, szkoleniowych, konferencyjnych itp.) niezbędnych do realizacji zadania,</w:t>
      </w:r>
    </w:p>
    <w:p w:rsidR="0055128A" w:rsidRPr="00F73317" w:rsidRDefault="0055128A" w:rsidP="004D459D">
      <w:pPr>
        <w:numPr>
          <w:ilvl w:val="0"/>
          <w:numId w:val="7"/>
        </w:numPr>
        <w:tabs>
          <w:tab w:val="clear" w:pos="2160"/>
          <w:tab w:val="num" w:pos="567"/>
        </w:tabs>
        <w:ind w:left="567" w:hanging="283"/>
        <w:jc w:val="both"/>
      </w:pPr>
      <w:r w:rsidRPr="00F73317">
        <w:t>usługi poligraficzne,</w:t>
      </w:r>
    </w:p>
    <w:p w:rsidR="0055128A" w:rsidRPr="00F73317" w:rsidRDefault="0055128A" w:rsidP="004D459D">
      <w:pPr>
        <w:numPr>
          <w:ilvl w:val="0"/>
          <w:numId w:val="7"/>
        </w:numPr>
        <w:tabs>
          <w:tab w:val="clear" w:pos="2160"/>
          <w:tab w:val="num" w:pos="567"/>
        </w:tabs>
        <w:ind w:left="567" w:hanging="283"/>
        <w:jc w:val="both"/>
      </w:pPr>
      <w:r w:rsidRPr="00F73317">
        <w:t>usługi transportowe,</w:t>
      </w:r>
    </w:p>
    <w:p w:rsidR="0055128A" w:rsidRPr="00F73317" w:rsidRDefault="0055128A" w:rsidP="004D459D">
      <w:pPr>
        <w:numPr>
          <w:ilvl w:val="0"/>
          <w:numId w:val="7"/>
        </w:numPr>
        <w:tabs>
          <w:tab w:val="clear" w:pos="2160"/>
          <w:tab w:val="num" w:pos="567"/>
        </w:tabs>
        <w:ind w:left="567" w:hanging="283"/>
        <w:jc w:val="both"/>
      </w:pPr>
      <w:r w:rsidRPr="00F73317">
        <w:t>promocję zadania</w:t>
      </w:r>
      <w:r>
        <w:t>, w tym m.in. plakaty, ulotki, ogłoszenia prasowe, materiały informacyjne</w:t>
      </w:r>
      <w:r w:rsidRPr="00F73317">
        <w:t xml:space="preserve"> – nie więcej niż 5% wartości zadania,</w:t>
      </w:r>
    </w:p>
    <w:p w:rsidR="0055128A" w:rsidRPr="00181780" w:rsidRDefault="0055128A" w:rsidP="003C6BF2">
      <w:pPr>
        <w:numPr>
          <w:ilvl w:val="0"/>
          <w:numId w:val="7"/>
        </w:numPr>
        <w:tabs>
          <w:tab w:val="clear" w:pos="2160"/>
          <w:tab w:val="num" w:pos="567"/>
        </w:tabs>
        <w:ind w:left="567" w:hanging="283"/>
        <w:jc w:val="both"/>
      </w:pPr>
      <w:r w:rsidRPr="00181780">
        <w:t>koszt prowadzenia biura podmiotu (bez pracowników etatowych), bezpośrednio związany z realizacją zadania (tj. m.in. materiały biurowe, usługi pocztowe, telekomunikacyjne, Internet – na podstawie opisanych bilingów i faktur) – nie więcej niż 10 % wartości zadania,</w:t>
      </w:r>
    </w:p>
    <w:p w:rsidR="0055128A" w:rsidRPr="00DD2314" w:rsidRDefault="0055128A" w:rsidP="004616B2">
      <w:pPr>
        <w:pStyle w:val="ListParagraph"/>
        <w:numPr>
          <w:ilvl w:val="1"/>
          <w:numId w:val="2"/>
        </w:numPr>
        <w:tabs>
          <w:tab w:val="clear" w:pos="1440"/>
        </w:tabs>
        <w:ind w:left="426" w:hanging="426"/>
        <w:jc w:val="both"/>
      </w:pPr>
      <w:r w:rsidRPr="00DD2314">
        <w:t>Koszty niekwalifikowane stanowią:</w:t>
      </w:r>
    </w:p>
    <w:p w:rsidR="0055128A" w:rsidRPr="00DD2314" w:rsidRDefault="0055128A" w:rsidP="004D459D">
      <w:pPr>
        <w:pStyle w:val="NormalWeb"/>
        <w:numPr>
          <w:ilvl w:val="0"/>
          <w:numId w:val="8"/>
        </w:numPr>
        <w:tabs>
          <w:tab w:val="clear" w:pos="1440"/>
        </w:tabs>
        <w:ind w:left="567" w:hanging="283"/>
        <w:jc w:val="both"/>
      </w:pPr>
      <w:r w:rsidRPr="00DD2314">
        <w:t xml:space="preserve">podatek od towarów i usług VAT, który może być odzyskany w oparciu </w:t>
      </w:r>
      <w:r>
        <w:br/>
      </w:r>
      <w:r w:rsidRPr="00DD2314">
        <w:t xml:space="preserve">o przepisy ustawy z dnia 11 marca 2004 r. o podatku od towarów i usług, </w:t>
      </w:r>
    </w:p>
    <w:p w:rsidR="0055128A" w:rsidRPr="00DD2314" w:rsidRDefault="0055128A" w:rsidP="004D459D">
      <w:pPr>
        <w:pStyle w:val="NormalWeb"/>
        <w:numPr>
          <w:ilvl w:val="0"/>
          <w:numId w:val="8"/>
        </w:numPr>
        <w:tabs>
          <w:tab w:val="clear" w:pos="1440"/>
          <w:tab w:val="num" w:pos="567"/>
        </w:tabs>
        <w:ind w:left="567" w:hanging="283"/>
        <w:jc w:val="both"/>
      </w:pPr>
      <w:r w:rsidRPr="00DD2314">
        <w:t>zakup nieruchomości i środków trwałych,</w:t>
      </w:r>
    </w:p>
    <w:p w:rsidR="0055128A" w:rsidRDefault="0055128A" w:rsidP="004D459D">
      <w:pPr>
        <w:pStyle w:val="NormalWeb"/>
        <w:numPr>
          <w:ilvl w:val="0"/>
          <w:numId w:val="8"/>
        </w:numPr>
        <w:tabs>
          <w:tab w:val="clear" w:pos="1440"/>
          <w:tab w:val="num" w:pos="567"/>
        </w:tabs>
        <w:ind w:left="567" w:hanging="283"/>
        <w:jc w:val="both"/>
      </w:pPr>
      <w:r w:rsidRPr="00DD2314">
        <w:t>zakup wyposażenia,</w:t>
      </w:r>
    </w:p>
    <w:p w:rsidR="0055128A" w:rsidRDefault="0055128A" w:rsidP="004D459D">
      <w:pPr>
        <w:pStyle w:val="NormalWeb"/>
        <w:numPr>
          <w:ilvl w:val="0"/>
          <w:numId w:val="8"/>
        </w:numPr>
        <w:tabs>
          <w:tab w:val="clear" w:pos="1440"/>
          <w:tab w:val="num" w:pos="567"/>
        </w:tabs>
        <w:ind w:left="567" w:hanging="283"/>
        <w:jc w:val="both"/>
      </w:pPr>
      <w:r>
        <w:t>stałe koszty działalności podmiotu, w szczególności wynagrodzenia osobowe pracowników etatowych i utrzymanie biura (np. opłaty czynszowe, abonamentowe),</w:t>
      </w:r>
    </w:p>
    <w:p w:rsidR="0055128A" w:rsidRPr="00DD2314" w:rsidRDefault="0055128A" w:rsidP="00F33BF8">
      <w:pPr>
        <w:pStyle w:val="NormalWeb"/>
        <w:numPr>
          <w:ilvl w:val="0"/>
          <w:numId w:val="8"/>
        </w:numPr>
        <w:tabs>
          <w:tab w:val="clear" w:pos="1440"/>
          <w:tab w:val="num" w:pos="567"/>
        </w:tabs>
        <w:ind w:left="567" w:hanging="283"/>
        <w:jc w:val="both"/>
      </w:pPr>
      <w:r w:rsidRPr="00DD2314">
        <w:t>odsetki i odsetki karne.</w:t>
      </w:r>
    </w:p>
    <w:p w:rsidR="0055128A" w:rsidRPr="003A4E3B" w:rsidRDefault="0055128A" w:rsidP="004616B2">
      <w:pPr>
        <w:numPr>
          <w:ilvl w:val="1"/>
          <w:numId w:val="2"/>
        </w:numPr>
        <w:tabs>
          <w:tab w:val="clear" w:pos="1440"/>
        </w:tabs>
        <w:ind w:left="426" w:hanging="426"/>
        <w:jc w:val="both"/>
      </w:pPr>
      <w:r w:rsidRPr="00DD2314">
        <w:t>Przyznane środki nie mogą być przeznaczone na finansowanie kosztów stałej działalności podmiotu ubiegającego się o dofinansowanie, jak również na zakup i zadania inwestycyjne oraz prace remontowo budowlane, a także na pokrycie wierzytelności i zobowiązań podmiotu niezwiązanych z realizacją dofinansowanego zadania.</w:t>
      </w:r>
    </w:p>
    <w:p w:rsidR="0055128A" w:rsidRDefault="0055128A" w:rsidP="004616B2">
      <w:pPr>
        <w:pStyle w:val="BodyText"/>
        <w:numPr>
          <w:ilvl w:val="1"/>
          <w:numId w:val="2"/>
        </w:numPr>
        <w:tabs>
          <w:tab w:val="num" w:pos="360"/>
        </w:tabs>
        <w:ind w:left="360"/>
        <w:jc w:val="both"/>
        <w:rPr>
          <w:sz w:val="24"/>
        </w:rPr>
      </w:pPr>
      <w:r>
        <w:rPr>
          <w:sz w:val="24"/>
        </w:rPr>
        <w:t>Oferty złożone w niniejszym postępowaniu konkursowym będą stanowiły dokumentację Urzędu Marszałkowskiego Województwa Świętokrzyskiego w Kielcach i nie będą zwracane oferentom.</w:t>
      </w:r>
    </w:p>
    <w:p w:rsidR="0055128A" w:rsidRDefault="0055128A" w:rsidP="004616B2">
      <w:pPr>
        <w:pStyle w:val="BodyText"/>
        <w:numPr>
          <w:ilvl w:val="1"/>
          <w:numId w:val="2"/>
        </w:numPr>
        <w:tabs>
          <w:tab w:val="num" w:pos="360"/>
        </w:tabs>
        <w:ind w:left="360"/>
        <w:jc w:val="both"/>
        <w:rPr>
          <w:sz w:val="24"/>
        </w:rPr>
      </w:pPr>
      <w:r>
        <w:rPr>
          <w:sz w:val="24"/>
        </w:rPr>
        <w:t xml:space="preserve">Składane oferty dotyczące realizacji zadań powinny mieć zasięg lub znaczenie co </w:t>
      </w:r>
      <w:r w:rsidRPr="003E135C">
        <w:rPr>
          <w:b/>
          <w:sz w:val="24"/>
        </w:rPr>
        <w:t>najmniej regionalny</w:t>
      </w:r>
      <w:r>
        <w:rPr>
          <w:sz w:val="24"/>
        </w:rPr>
        <w:t xml:space="preserve"> i muszą być realizowane na terenie Województwa Świętokrzyskiego.</w:t>
      </w:r>
    </w:p>
    <w:p w:rsidR="0055128A" w:rsidRPr="00425008" w:rsidRDefault="0055128A" w:rsidP="004616B2">
      <w:pPr>
        <w:pStyle w:val="BodyText"/>
        <w:jc w:val="both"/>
        <w:rPr>
          <w:sz w:val="24"/>
        </w:rPr>
      </w:pPr>
    </w:p>
    <w:p w:rsidR="0055128A" w:rsidRDefault="0055128A" w:rsidP="004616B2">
      <w:pPr>
        <w:pStyle w:val="BodyText"/>
        <w:jc w:val="both"/>
        <w:rPr>
          <w:b/>
          <w:sz w:val="24"/>
          <w:u w:val="single"/>
        </w:rPr>
      </w:pPr>
      <w:r w:rsidRPr="00425008">
        <w:rPr>
          <w:b/>
          <w:sz w:val="24"/>
          <w:u w:val="single"/>
        </w:rPr>
        <w:t>Wysokość dotacji</w:t>
      </w:r>
    </w:p>
    <w:p w:rsidR="0055128A" w:rsidRPr="00425008" w:rsidRDefault="0055128A" w:rsidP="004616B2">
      <w:pPr>
        <w:pStyle w:val="BodyText"/>
        <w:jc w:val="both"/>
        <w:rPr>
          <w:b/>
          <w:sz w:val="24"/>
          <w:u w:val="single"/>
        </w:rPr>
      </w:pPr>
    </w:p>
    <w:p w:rsidR="0055128A" w:rsidRPr="002244D4" w:rsidRDefault="0055128A" w:rsidP="00D81F50">
      <w:pPr>
        <w:pStyle w:val="BodyText"/>
        <w:numPr>
          <w:ilvl w:val="2"/>
          <w:numId w:val="2"/>
        </w:numPr>
        <w:tabs>
          <w:tab w:val="clear" w:pos="2160"/>
        </w:tabs>
        <w:ind w:left="360"/>
        <w:jc w:val="both"/>
        <w:rPr>
          <w:sz w:val="24"/>
        </w:rPr>
      </w:pPr>
      <w:r w:rsidRPr="002244D4">
        <w:rPr>
          <w:sz w:val="24"/>
        </w:rPr>
        <w:t xml:space="preserve">Wysokość dotacji dla podmiotów uprawnionych nie może przekroczyć </w:t>
      </w:r>
      <w:r>
        <w:rPr>
          <w:b/>
          <w:sz w:val="24"/>
        </w:rPr>
        <w:t>8</w:t>
      </w:r>
      <w:r w:rsidRPr="002244D4">
        <w:rPr>
          <w:b/>
          <w:sz w:val="24"/>
        </w:rPr>
        <w:t>0%</w:t>
      </w:r>
      <w:r w:rsidRPr="002244D4">
        <w:rPr>
          <w:sz w:val="24"/>
        </w:rPr>
        <w:t xml:space="preserve"> kosztów kwalifikowanych realizacji zadania.</w:t>
      </w:r>
    </w:p>
    <w:p w:rsidR="0055128A" w:rsidRDefault="0055128A" w:rsidP="00D81F50">
      <w:pPr>
        <w:pStyle w:val="BodyText"/>
        <w:numPr>
          <w:ilvl w:val="2"/>
          <w:numId w:val="2"/>
        </w:numPr>
        <w:tabs>
          <w:tab w:val="clear" w:pos="2160"/>
        </w:tabs>
        <w:ind w:left="360"/>
        <w:jc w:val="both"/>
        <w:rPr>
          <w:sz w:val="24"/>
        </w:rPr>
      </w:pPr>
      <w:r>
        <w:rPr>
          <w:sz w:val="24"/>
        </w:rPr>
        <w:t xml:space="preserve">Wymagany wkład własny podmiotu wynosi minimum </w:t>
      </w:r>
      <w:r>
        <w:rPr>
          <w:b/>
          <w:sz w:val="24"/>
        </w:rPr>
        <w:t>2</w:t>
      </w:r>
      <w:r w:rsidRPr="00BE487D">
        <w:rPr>
          <w:b/>
          <w:sz w:val="24"/>
        </w:rPr>
        <w:t>0%</w:t>
      </w:r>
      <w:r>
        <w:rPr>
          <w:sz w:val="24"/>
        </w:rPr>
        <w:t xml:space="preserve"> całkowitej wartości zadania, </w:t>
      </w:r>
      <w:r>
        <w:rPr>
          <w:sz w:val="24"/>
        </w:rPr>
        <w:br/>
        <w:t>w tym:</w:t>
      </w:r>
    </w:p>
    <w:p w:rsidR="0055128A" w:rsidRDefault="0055128A" w:rsidP="00D81F50">
      <w:pPr>
        <w:pStyle w:val="BodyText"/>
        <w:numPr>
          <w:ilvl w:val="0"/>
          <w:numId w:val="10"/>
        </w:numPr>
        <w:jc w:val="both"/>
        <w:rPr>
          <w:sz w:val="24"/>
        </w:rPr>
      </w:pPr>
      <w:r>
        <w:rPr>
          <w:sz w:val="24"/>
        </w:rPr>
        <w:t xml:space="preserve">wkład finansowy podmiotu winien stanowić minimum </w:t>
      </w:r>
      <w:r>
        <w:rPr>
          <w:b/>
          <w:sz w:val="24"/>
        </w:rPr>
        <w:t>1</w:t>
      </w:r>
      <w:r w:rsidRPr="00D26B64">
        <w:rPr>
          <w:b/>
          <w:sz w:val="24"/>
        </w:rPr>
        <w:t>0%</w:t>
      </w:r>
      <w:r>
        <w:rPr>
          <w:sz w:val="24"/>
        </w:rPr>
        <w:t>,</w:t>
      </w:r>
    </w:p>
    <w:p w:rsidR="0055128A" w:rsidRDefault="0055128A" w:rsidP="00D81F50">
      <w:pPr>
        <w:pStyle w:val="BodyText"/>
        <w:numPr>
          <w:ilvl w:val="0"/>
          <w:numId w:val="10"/>
        </w:numPr>
        <w:jc w:val="both"/>
        <w:rPr>
          <w:sz w:val="24"/>
        </w:rPr>
      </w:pPr>
      <w:r>
        <w:rPr>
          <w:sz w:val="24"/>
        </w:rPr>
        <w:t>wkład pozafinansowy (świadczenia wolontariuszy i praca społeczna członków organizacji) może stanowić pozostały wkład własny.</w:t>
      </w:r>
    </w:p>
    <w:p w:rsidR="0055128A" w:rsidRPr="002244D4" w:rsidRDefault="0055128A" w:rsidP="004E47F0">
      <w:pPr>
        <w:pStyle w:val="BodyText"/>
        <w:ind w:left="426"/>
        <w:jc w:val="both"/>
        <w:rPr>
          <w:sz w:val="24"/>
        </w:rPr>
      </w:pPr>
    </w:p>
    <w:p w:rsidR="0055128A" w:rsidRDefault="0055128A" w:rsidP="004616B2">
      <w:pPr>
        <w:pStyle w:val="BodyText"/>
        <w:jc w:val="both"/>
        <w:rPr>
          <w:b/>
          <w:sz w:val="24"/>
          <w:u w:val="single"/>
        </w:rPr>
      </w:pPr>
      <w:r>
        <w:rPr>
          <w:b/>
          <w:sz w:val="24"/>
          <w:u w:val="single"/>
        </w:rPr>
        <w:t>Wymagane Dokumenty:</w:t>
      </w:r>
    </w:p>
    <w:p w:rsidR="0055128A" w:rsidRDefault="0055128A" w:rsidP="004616B2">
      <w:pPr>
        <w:pStyle w:val="BodyText"/>
        <w:jc w:val="both"/>
        <w:rPr>
          <w:b/>
          <w:sz w:val="24"/>
        </w:rPr>
      </w:pPr>
    </w:p>
    <w:p w:rsidR="0055128A" w:rsidRPr="00690D57" w:rsidRDefault="0055128A" w:rsidP="004616B2">
      <w:pPr>
        <w:numPr>
          <w:ilvl w:val="0"/>
          <w:numId w:val="3"/>
        </w:numPr>
        <w:tabs>
          <w:tab w:val="num" w:pos="360"/>
        </w:tabs>
        <w:ind w:left="360"/>
        <w:jc w:val="both"/>
      </w:pPr>
      <w:r w:rsidRPr="00690D57">
        <w:t>Prawidłowo wypełniony formularz oferty, w któr</w:t>
      </w:r>
      <w:r>
        <w:t>ej</w:t>
      </w:r>
      <w:r w:rsidRPr="00690D57">
        <w:t xml:space="preserve"> oprócz podstawowych informacji należy zamieścić precyzyjny opis planowanego działania tj. szczegółowy zakres rzeczowy zadania, termin i miejsce jego realizacji, kalkulacja przewidywanych kosztów, informacje o wcześniejszej działalności podmiotu w zakresie, którego dotyczy zadanie; informacja </w:t>
      </w:r>
      <w:r>
        <w:br/>
      </w:r>
      <w:r w:rsidRPr="00690D57">
        <w:t>o zasobach rzeczowych i kadrowych, montaż finansowy uwzględniający wysokość środków finansowych uzyskanych na realizację danego zadania z innych źródeł.</w:t>
      </w:r>
    </w:p>
    <w:p w:rsidR="0055128A" w:rsidRPr="00690D57" w:rsidRDefault="0055128A" w:rsidP="004616B2">
      <w:pPr>
        <w:numPr>
          <w:ilvl w:val="0"/>
          <w:numId w:val="3"/>
        </w:numPr>
        <w:tabs>
          <w:tab w:val="num" w:pos="360"/>
        </w:tabs>
        <w:ind w:left="360"/>
        <w:jc w:val="both"/>
      </w:pPr>
      <w:r w:rsidRPr="00690D57">
        <w:t xml:space="preserve">Kopię wyciągu z Krajowego Rejestru Sądowego, zgodną z aktualnym stanem prawnym </w:t>
      </w:r>
      <w:r>
        <w:br/>
      </w:r>
      <w:r w:rsidRPr="00690D57">
        <w:t>i faktycznym.</w:t>
      </w:r>
    </w:p>
    <w:p w:rsidR="0055128A" w:rsidRPr="00690D57" w:rsidRDefault="0055128A" w:rsidP="004616B2">
      <w:pPr>
        <w:numPr>
          <w:ilvl w:val="0"/>
          <w:numId w:val="3"/>
        </w:numPr>
        <w:tabs>
          <w:tab w:val="num" w:pos="360"/>
        </w:tabs>
        <w:ind w:left="360"/>
        <w:jc w:val="both"/>
      </w:pPr>
      <w:r w:rsidRPr="00690D57">
        <w:t>W przypadku oddziału terenowego organizacji składającej ofertę współpracy niezbędne jest załączenie do niej pełnomocnictwa zarządu głównego, dla co najmniej dwóch przedstawicieli wyżej wymienionego oddziału, do składania w imieniu tej organizacji oświadczeń woli w zakresie nabywania praw i zaciągania zobowiązań finansowych oraz dysponowania środkami, przeznaczonymi na realizację zadania, o którego powierzenie lub wsparcie stara się ta jednostka organizacyjna.</w:t>
      </w:r>
    </w:p>
    <w:p w:rsidR="0055128A" w:rsidRPr="00905D4D" w:rsidRDefault="0055128A" w:rsidP="00A84EDA">
      <w:pPr>
        <w:numPr>
          <w:ilvl w:val="0"/>
          <w:numId w:val="3"/>
        </w:numPr>
        <w:tabs>
          <w:tab w:val="num" w:pos="360"/>
        </w:tabs>
        <w:ind w:left="360"/>
        <w:jc w:val="both"/>
      </w:pPr>
      <w:r w:rsidRPr="00690D57">
        <w:t>Kopie aktualnego statutu organizacji lub adres strony internetowej, na której jego</w:t>
      </w:r>
      <w:r w:rsidRPr="00905D4D">
        <w:t xml:space="preserve"> aktualna wersja jest udostępniona.</w:t>
      </w:r>
    </w:p>
    <w:p w:rsidR="0055128A" w:rsidRPr="00905D4D" w:rsidRDefault="0055128A" w:rsidP="00A84EDA">
      <w:pPr>
        <w:numPr>
          <w:ilvl w:val="0"/>
          <w:numId w:val="3"/>
        </w:numPr>
        <w:tabs>
          <w:tab w:val="num" w:pos="360"/>
        </w:tabs>
        <w:ind w:left="360"/>
        <w:jc w:val="both"/>
      </w:pPr>
      <w:r w:rsidRPr="00905D4D">
        <w:t>Oferta wraz z załącznikami powinna być kompletna, podpisana przez osoby uprawnione wymienione w KRS. Dokumenty przedłożone jako kserokopie winny być potwierdzone za zgodność z oryginałem. Jeśli osoby uprawnione nie dysponują pieczątkami imiennymi powinny podpisać się pełnym imieniem i nazwiskiem z zaznaczeniem pełnionej funkcji.</w:t>
      </w:r>
    </w:p>
    <w:p w:rsidR="0055128A" w:rsidRPr="00905D4D" w:rsidRDefault="0055128A" w:rsidP="004616B2">
      <w:pPr>
        <w:pStyle w:val="NormalWeb"/>
        <w:numPr>
          <w:ilvl w:val="0"/>
          <w:numId w:val="3"/>
        </w:numPr>
        <w:tabs>
          <w:tab w:val="clear" w:pos="720"/>
        </w:tabs>
        <w:ind w:left="425" w:hanging="425"/>
        <w:jc w:val="both"/>
      </w:pPr>
      <w:r w:rsidRPr="00905D4D">
        <w:t>Oferta jest sporządzona prawidłowo pod względem formalnym jeżeli spełnia następujące kryteria:</w:t>
      </w:r>
    </w:p>
    <w:p w:rsidR="0055128A" w:rsidRPr="00905D4D" w:rsidRDefault="0055128A" w:rsidP="00603F0C">
      <w:pPr>
        <w:pStyle w:val="NormalWeb"/>
        <w:numPr>
          <w:ilvl w:val="1"/>
          <w:numId w:val="10"/>
        </w:numPr>
        <w:tabs>
          <w:tab w:val="clear" w:pos="1440"/>
          <w:tab w:val="left" w:pos="900"/>
        </w:tabs>
        <w:spacing w:after="40"/>
        <w:ind w:left="900"/>
        <w:jc w:val="both"/>
      </w:pPr>
      <w:r w:rsidRPr="00905D4D">
        <w:t>oferent jest uprawniony do udziału w konkursie,</w:t>
      </w:r>
    </w:p>
    <w:p w:rsidR="0055128A" w:rsidRPr="00905D4D" w:rsidRDefault="0055128A" w:rsidP="00603F0C">
      <w:pPr>
        <w:pStyle w:val="NormalWeb"/>
        <w:numPr>
          <w:ilvl w:val="1"/>
          <w:numId w:val="10"/>
        </w:numPr>
        <w:tabs>
          <w:tab w:val="clear" w:pos="1440"/>
          <w:tab w:val="left" w:pos="900"/>
        </w:tabs>
        <w:spacing w:after="40"/>
        <w:ind w:left="900"/>
        <w:jc w:val="both"/>
      </w:pPr>
      <w:r w:rsidRPr="00905D4D">
        <w:t>oferta musi być złożona na prawidłowym formularzu,</w:t>
      </w:r>
    </w:p>
    <w:p w:rsidR="0055128A" w:rsidRPr="00905D4D" w:rsidRDefault="0055128A" w:rsidP="00DB0E92">
      <w:pPr>
        <w:pStyle w:val="NormalWeb"/>
        <w:numPr>
          <w:ilvl w:val="1"/>
          <w:numId w:val="10"/>
        </w:numPr>
        <w:tabs>
          <w:tab w:val="clear" w:pos="1440"/>
          <w:tab w:val="left" w:pos="900"/>
        </w:tabs>
        <w:spacing w:after="40"/>
        <w:ind w:left="902"/>
        <w:jc w:val="both"/>
      </w:pPr>
      <w:r w:rsidRPr="00905D4D">
        <w:t>oferta złożona jest w wymaganym w regulaminie terminie,</w:t>
      </w:r>
    </w:p>
    <w:p w:rsidR="0055128A" w:rsidRPr="00905D4D" w:rsidRDefault="0055128A" w:rsidP="00DB0E92">
      <w:pPr>
        <w:pStyle w:val="NormalWeb"/>
        <w:numPr>
          <w:ilvl w:val="1"/>
          <w:numId w:val="10"/>
        </w:numPr>
        <w:tabs>
          <w:tab w:val="clear" w:pos="1440"/>
          <w:tab w:val="left" w:pos="900"/>
        </w:tabs>
        <w:spacing w:after="40"/>
        <w:ind w:left="902"/>
        <w:jc w:val="both"/>
      </w:pPr>
      <w:r w:rsidRPr="00905D4D">
        <w:t>zadanie jest zgodne z celami i założeniami konkursu,</w:t>
      </w:r>
    </w:p>
    <w:p w:rsidR="0055128A" w:rsidRPr="00905D4D" w:rsidRDefault="0055128A" w:rsidP="00DB0E92">
      <w:pPr>
        <w:pStyle w:val="NormalWeb"/>
        <w:numPr>
          <w:ilvl w:val="1"/>
          <w:numId w:val="10"/>
        </w:numPr>
        <w:tabs>
          <w:tab w:val="clear" w:pos="1440"/>
          <w:tab w:val="left" w:pos="900"/>
        </w:tabs>
        <w:spacing w:after="40"/>
        <w:ind w:left="902" w:hanging="357"/>
        <w:jc w:val="both"/>
      </w:pPr>
      <w:r w:rsidRPr="00905D4D">
        <w:t>oferta jest prawidłowo wypełniona, w sposób czytelny,</w:t>
      </w:r>
    </w:p>
    <w:p w:rsidR="0055128A" w:rsidRPr="00905D4D" w:rsidRDefault="0055128A" w:rsidP="00DB0E92">
      <w:pPr>
        <w:pStyle w:val="NormalWeb"/>
        <w:numPr>
          <w:ilvl w:val="1"/>
          <w:numId w:val="10"/>
        </w:numPr>
        <w:tabs>
          <w:tab w:val="clear" w:pos="1440"/>
          <w:tab w:val="left" w:pos="900"/>
        </w:tabs>
        <w:spacing w:after="40"/>
        <w:ind w:left="900" w:hanging="357"/>
        <w:jc w:val="both"/>
      </w:pPr>
      <w:r w:rsidRPr="00905D4D">
        <w:t>kalkulacja przewidywanych kosztów realizacji zadania jest poprawna pod względem formalno-rachunkowym,</w:t>
      </w:r>
    </w:p>
    <w:p w:rsidR="0055128A" w:rsidRPr="00905D4D" w:rsidRDefault="0055128A" w:rsidP="00DB0E92">
      <w:pPr>
        <w:pStyle w:val="NormalWeb"/>
        <w:numPr>
          <w:ilvl w:val="1"/>
          <w:numId w:val="10"/>
        </w:numPr>
        <w:tabs>
          <w:tab w:val="clear" w:pos="1440"/>
          <w:tab w:val="left" w:pos="900"/>
        </w:tabs>
        <w:spacing w:after="40"/>
        <w:ind w:left="900" w:hanging="357"/>
        <w:jc w:val="both"/>
      </w:pPr>
      <w:r w:rsidRPr="00905D4D">
        <w:t>oferta musi być podpisana przez</w:t>
      </w:r>
      <w:r>
        <w:t xml:space="preserve"> osoby uprawnione. Podpisy muszą</w:t>
      </w:r>
      <w:r w:rsidRPr="00905D4D">
        <w:t xml:space="preserve"> być czytelne </w:t>
      </w:r>
      <w:r>
        <w:br/>
      </w:r>
      <w:r w:rsidRPr="00905D4D">
        <w:t>z podaniem imienia i nazwiska z zaznaczeniem pełnionej funkcji lub opatrzone pieczęcią imienną.</w:t>
      </w:r>
    </w:p>
    <w:p w:rsidR="0055128A" w:rsidRPr="00905D4D" w:rsidRDefault="0055128A" w:rsidP="00DB0E92">
      <w:pPr>
        <w:numPr>
          <w:ilvl w:val="0"/>
          <w:numId w:val="3"/>
        </w:numPr>
        <w:tabs>
          <w:tab w:val="clear" w:pos="720"/>
          <w:tab w:val="num" w:pos="360"/>
        </w:tabs>
        <w:spacing w:after="40"/>
        <w:ind w:left="360" w:hanging="357"/>
        <w:jc w:val="both"/>
      </w:pPr>
      <w:r w:rsidRPr="00905D4D">
        <w:t>Oferty nie spełniające powyższych wymogów, niekompletne i/lub nieprawidłowe zostaną odrzucone ze względów formalnych.</w:t>
      </w:r>
    </w:p>
    <w:p w:rsidR="0055128A" w:rsidRPr="00905D4D" w:rsidRDefault="0055128A" w:rsidP="002300F4">
      <w:pPr>
        <w:numPr>
          <w:ilvl w:val="0"/>
          <w:numId w:val="3"/>
        </w:numPr>
        <w:tabs>
          <w:tab w:val="clear" w:pos="720"/>
          <w:tab w:val="num" w:pos="360"/>
        </w:tabs>
        <w:spacing w:after="40"/>
        <w:ind w:left="360"/>
        <w:jc w:val="both"/>
      </w:pPr>
      <w:r w:rsidRPr="00905D4D">
        <w:t>Oferty spełniające ww. wymogi formalne podlegają ocenie merytorycznej przez Komisję konkursową, powołaną przez Zarząd Województwa Świętokrzyskiego.</w:t>
      </w:r>
    </w:p>
    <w:p w:rsidR="0055128A" w:rsidRPr="00905D4D" w:rsidRDefault="0055128A" w:rsidP="004616B2">
      <w:pPr>
        <w:numPr>
          <w:ilvl w:val="0"/>
          <w:numId w:val="3"/>
        </w:numPr>
        <w:tabs>
          <w:tab w:val="num" w:pos="360"/>
        </w:tabs>
        <w:ind w:left="360"/>
        <w:jc w:val="both"/>
      </w:pPr>
      <w:r w:rsidRPr="00905D4D">
        <w:t>Podmiot wnioskujący o przyznanie środków na realizację zadania winien przedstawić ofertę wykonania zadania zgodną z zasadami uczciwej konkurencji, gwarantującą wykonanie zadania w sposób efektywny, oszczędny i terminowy.</w:t>
      </w:r>
    </w:p>
    <w:p w:rsidR="0055128A" w:rsidRPr="00905D4D" w:rsidRDefault="0055128A" w:rsidP="004616B2">
      <w:pPr>
        <w:numPr>
          <w:ilvl w:val="0"/>
          <w:numId w:val="3"/>
        </w:numPr>
        <w:tabs>
          <w:tab w:val="num" w:pos="360"/>
        </w:tabs>
        <w:ind w:left="360"/>
        <w:jc w:val="both"/>
      </w:pPr>
      <w:r w:rsidRPr="00905D4D">
        <w:t>W przypadku złożenia przez oferenta więcej niż jednej oferty dopuszcza się załączenie jednego kompletu załączników ze wskazaniem na pierwszej stronie (dopisek), przy której ofercie się znajdują. Oferta złożona bez wymaganych załączników jest niekompletna.</w:t>
      </w:r>
    </w:p>
    <w:p w:rsidR="0055128A" w:rsidRPr="00905D4D" w:rsidRDefault="0055128A" w:rsidP="004616B2">
      <w:pPr>
        <w:numPr>
          <w:ilvl w:val="0"/>
          <w:numId w:val="3"/>
        </w:numPr>
        <w:tabs>
          <w:tab w:val="num" w:pos="360"/>
        </w:tabs>
        <w:ind w:left="360"/>
        <w:jc w:val="both"/>
      </w:pPr>
      <w:r w:rsidRPr="00905D4D">
        <w:t xml:space="preserve">W przypadku złożenia oferty wspólnej, błąd formalny występujący po stronie jednego </w:t>
      </w:r>
      <w:r>
        <w:br/>
      </w:r>
      <w:r w:rsidRPr="00905D4D">
        <w:t>z podmiotów powoduje odrzucenie oferty.</w:t>
      </w:r>
    </w:p>
    <w:p w:rsidR="0055128A" w:rsidRPr="00905D4D" w:rsidRDefault="0055128A" w:rsidP="004616B2">
      <w:pPr>
        <w:jc w:val="both"/>
      </w:pPr>
    </w:p>
    <w:p w:rsidR="0055128A" w:rsidRPr="00905D4D" w:rsidRDefault="0055128A" w:rsidP="004616B2">
      <w:pPr>
        <w:pStyle w:val="BodyText"/>
        <w:ind w:firstLine="1080"/>
        <w:jc w:val="both"/>
        <w:rPr>
          <w:i/>
          <w:sz w:val="24"/>
        </w:rPr>
      </w:pPr>
      <w:r w:rsidRPr="00905D4D">
        <w:rPr>
          <w:sz w:val="24"/>
        </w:rPr>
        <w:t>Wzór oferty określa</w:t>
      </w:r>
      <w:r w:rsidRPr="00905D4D">
        <w:rPr>
          <w:i/>
          <w:sz w:val="24"/>
        </w:rPr>
        <w:t xml:space="preserve"> rozporządzenie Ministra Pracy i Polityki Społecznej z dnia </w:t>
      </w:r>
      <w:r w:rsidRPr="00905D4D">
        <w:rPr>
          <w:i/>
          <w:sz w:val="24"/>
        </w:rPr>
        <w:br/>
        <w:t xml:space="preserve">15 grudnia 2010 r. w sprawie wzoru oferty ramowego wzoru umowy dotyczących realizacji zadania publicznego oraz wzoru sprawozdania z wykonania tego zadania (Dz. U. z 2011r. </w:t>
      </w:r>
      <w:r w:rsidRPr="00905D4D">
        <w:rPr>
          <w:i/>
          <w:sz w:val="24"/>
        </w:rPr>
        <w:br/>
        <w:t>Nr 6, poz. 25).</w:t>
      </w:r>
    </w:p>
    <w:p w:rsidR="0055128A" w:rsidRPr="00905D4D" w:rsidRDefault="0055128A" w:rsidP="004616B2">
      <w:pPr>
        <w:jc w:val="both"/>
        <w:rPr>
          <w:b/>
        </w:rPr>
      </w:pPr>
    </w:p>
    <w:p w:rsidR="0055128A" w:rsidRDefault="0055128A" w:rsidP="004616B2">
      <w:pPr>
        <w:ind w:right="-1190"/>
        <w:rPr>
          <w:b/>
          <w:u w:val="single"/>
        </w:rPr>
      </w:pPr>
      <w:r>
        <w:rPr>
          <w:b/>
          <w:u w:val="single"/>
        </w:rPr>
        <w:t>Kryteria oceny ofert współpracy:</w:t>
      </w:r>
    </w:p>
    <w:p w:rsidR="0055128A" w:rsidRDefault="0055128A" w:rsidP="004616B2">
      <w:pPr>
        <w:ind w:right="-1190"/>
        <w:rPr>
          <w:b/>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70"/>
        <w:gridCol w:w="5537"/>
        <w:gridCol w:w="3119"/>
      </w:tblGrid>
      <w:tr w:rsidR="0055128A" w:rsidTr="00FC2EC8">
        <w:tc>
          <w:tcPr>
            <w:tcW w:w="770" w:type="dxa"/>
          </w:tcPr>
          <w:p w:rsidR="0055128A" w:rsidRDefault="0055128A" w:rsidP="00FC2EC8">
            <w:pPr>
              <w:jc w:val="both"/>
              <w:rPr>
                <w:b/>
              </w:rPr>
            </w:pPr>
            <w:r>
              <w:rPr>
                <w:b/>
              </w:rPr>
              <w:t>Lp.</w:t>
            </w:r>
          </w:p>
        </w:tc>
        <w:tc>
          <w:tcPr>
            <w:tcW w:w="5537" w:type="dxa"/>
          </w:tcPr>
          <w:p w:rsidR="0055128A" w:rsidRDefault="0055128A" w:rsidP="00FC2EC8">
            <w:pPr>
              <w:jc w:val="center"/>
              <w:rPr>
                <w:b/>
              </w:rPr>
            </w:pPr>
            <w:r>
              <w:rPr>
                <w:b/>
              </w:rPr>
              <w:t>Kryteria oceny</w:t>
            </w:r>
          </w:p>
        </w:tc>
        <w:tc>
          <w:tcPr>
            <w:tcW w:w="3119" w:type="dxa"/>
          </w:tcPr>
          <w:p w:rsidR="0055128A" w:rsidRDefault="0055128A" w:rsidP="00FC2EC8">
            <w:pPr>
              <w:jc w:val="center"/>
              <w:rPr>
                <w:b/>
              </w:rPr>
            </w:pPr>
            <w:r>
              <w:rPr>
                <w:b/>
              </w:rPr>
              <w:t xml:space="preserve">Punktacja </w:t>
            </w:r>
          </w:p>
        </w:tc>
      </w:tr>
      <w:tr w:rsidR="0055128A" w:rsidTr="00FC2EC8">
        <w:trPr>
          <w:cantSplit/>
          <w:trHeight w:val="427"/>
        </w:trPr>
        <w:tc>
          <w:tcPr>
            <w:tcW w:w="770" w:type="dxa"/>
          </w:tcPr>
          <w:p w:rsidR="0055128A" w:rsidRDefault="0055128A" w:rsidP="00FC2EC8">
            <w:pPr>
              <w:jc w:val="both"/>
              <w:rPr>
                <w:b/>
              </w:rPr>
            </w:pPr>
            <w:r>
              <w:rPr>
                <w:b/>
              </w:rPr>
              <w:t>1.</w:t>
            </w:r>
          </w:p>
        </w:tc>
        <w:tc>
          <w:tcPr>
            <w:tcW w:w="5537" w:type="dxa"/>
            <w:shd w:val="clear" w:color="auto" w:fill="C0C0C0"/>
          </w:tcPr>
          <w:p w:rsidR="0055128A" w:rsidRDefault="0055128A" w:rsidP="00FC2EC8">
            <w:r>
              <w:t>Pozytywnie oceniona współpraca z administracją publiczną, w tym ocena realizacji projektów w latach ubiegłych.</w:t>
            </w:r>
          </w:p>
        </w:tc>
        <w:tc>
          <w:tcPr>
            <w:tcW w:w="3119" w:type="dxa"/>
            <w:shd w:val="clear" w:color="auto" w:fill="C0C0C0"/>
          </w:tcPr>
          <w:p w:rsidR="0055128A" w:rsidRDefault="0055128A" w:rsidP="00FC2EC8">
            <w:pPr>
              <w:jc w:val="center"/>
            </w:pPr>
            <w:r>
              <w:t>0-2 pkt.</w:t>
            </w:r>
          </w:p>
        </w:tc>
      </w:tr>
      <w:tr w:rsidR="0055128A" w:rsidTr="00FC2EC8">
        <w:trPr>
          <w:cantSplit/>
        </w:trPr>
        <w:tc>
          <w:tcPr>
            <w:tcW w:w="770" w:type="dxa"/>
          </w:tcPr>
          <w:p w:rsidR="0055128A" w:rsidRDefault="0055128A" w:rsidP="00FC2EC8">
            <w:pPr>
              <w:jc w:val="both"/>
              <w:rPr>
                <w:b/>
              </w:rPr>
            </w:pPr>
            <w:r>
              <w:rPr>
                <w:b/>
              </w:rPr>
              <w:t>2.</w:t>
            </w:r>
          </w:p>
        </w:tc>
        <w:tc>
          <w:tcPr>
            <w:tcW w:w="5537" w:type="dxa"/>
            <w:shd w:val="clear" w:color="auto" w:fill="C0C0C0"/>
          </w:tcPr>
          <w:p w:rsidR="0055128A" w:rsidRDefault="0055128A" w:rsidP="00FC2EC8">
            <w:r>
              <w:t>Dotychczasowa aktywność, doświadczenie w realizacji projektów w zakresie działań na rzecz ekologii i ochrony zwierząt oraz ochrony dziedzictwa przyrodniczego</w:t>
            </w:r>
          </w:p>
        </w:tc>
        <w:tc>
          <w:tcPr>
            <w:tcW w:w="3119" w:type="dxa"/>
            <w:shd w:val="clear" w:color="auto" w:fill="C0C0C0"/>
          </w:tcPr>
          <w:p w:rsidR="0055128A" w:rsidRDefault="0055128A" w:rsidP="00FC2EC8">
            <w:pPr>
              <w:jc w:val="center"/>
            </w:pPr>
            <w:r>
              <w:t>0-3pkt</w:t>
            </w:r>
          </w:p>
        </w:tc>
      </w:tr>
      <w:tr w:rsidR="0055128A" w:rsidTr="00FC2EC8">
        <w:trPr>
          <w:cantSplit/>
        </w:trPr>
        <w:tc>
          <w:tcPr>
            <w:tcW w:w="770" w:type="dxa"/>
          </w:tcPr>
          <w:p w:rsidR="0055128A" w:rsidRDefault="0055128A" w:rsidP="00FC2EC8">
            <w:pPr>
              <w:jc w:val="both"/>
              <w:rPr>
                <w:b/>
              </w:rPr>
            </w:pPr>
            <w:r>
              <w:rPr>
                <w:b/>
              </w:rPr>
              <w:t>3.</w:t>
            </w:r>
          </w:p>
        </w:tc>
        <w:tc>
          <w:tcPr>
            <w:tcW w:w="5537" w:type="dxa"/>
            <w:shd w:val="clear" w:color="auto" w:fill="C0C0C0"/>
          </w:tcPr>
          <w:p w:rsidR="0055128A" w:rsidRDefault="0055128A" w:rsidP="00FC2EC8">
            <w:r>
              <w:t>Premiowanie organizacji startujących wymagających wzmocnienia</w:t>
            </w:r>
          </w:p>
        </w:tc>
        <w:tc>
          <w:tcPr>
            <w:tcW w:w="3119" w:type="dxa"/>
            <w:shd w:val="clear" w:color="auto" w:fill="C0C0C0"/>
          </w:tcPr>
          <w:p w:rsidR="0055128A" w:rsidRDefault="0055128A" w:rsidP="00FC2EC8">
            <w:pPr>
              <w:jc w:val="center"/>
            </w:pPr>
            <w:r>
              <w:t>0-1 pkt.</w:t>
            </w:r>
          </w:p>
        </w:tc>
      </w:tr>
      <w:tr w:rsidR="0055128A" w:rsidTr="00FC2EC8">
        <w:trPr>
          <w:cantSplit/>
        </w:trPr>
        <w:tc>
          <w:tcPr>
            <w:tcW w:w="770" w:type="dxa"/>
          </w:tcPr>
          <w:p w:rsidR="0055128A" w:rsidRDefault="0055128A" w:rsidP="00FC2EC8">
            <w:pPr>
              <w:jc w:val="both"/>
              <w:rPr>
                <w:b/>
              </w:rPr>
            </w:pPr>
            <w:r>
              <w:rPr>
                <w:b/>
              </w:rPr>
              <w:t>4.</w:t>
            </w:r>
          </w:p>
        </w:tc>
        <w:tc>
          <w:tcPr>
            <w:tcW w:w="5537" w:type="dxa"/>
            <w:shd w:val="clear" w:color="auto" w:fill="C0C0C0"/>
          </w:tcPr>
          <w:p w:rsidR="0055128A" w:rsidRDefault="0055128A" w:rsidP="00892F29">
            <w:r>
              <w:t>Zasoby rzeczowe (np. baza lokalowa, niezbędny sprzęt, materiały)</w:t>
            </w:r>
          </w:p>
        </w:tc>
        <w:tc>
          <w:tcPr>
            <w:tcW w:w="3119" w:type="dxa"/>
            <w:shd w:val="clear" w:color="auto" w:fill="C0C0C0"/>
          </w:tcPr>
          <w:p w:rsidR="0055128A" w:rsidRDefault="0055128A" w:rsidP="00FC2EC8">
            <w:pPr>
              <w:jc w:val="center"/>
            </w:pPr>
            <w:r>
              <w:t>0-3 pkt</w:t>
            </w:r>
          </w:p>
        </w:tc>
      </w:tr>
      <w:tr w:rsidR="0055128A" w:rsidTr="00FC2EC8">
        <w:trPr>
          <w:cantSplit/>
        </w:trPr>
        <w:tc>
          <w:tcPr>
            <w:tcW w:w="770" w:type="dxa"/>
          </w:tcPr>
          <w:p w:rsidR="0055128A" w:rsidRDefault="0055128A" w:rsidP="00FC2EC8">
            <w:pPr>
              <w:jc w:val="both"/>
              <w:rPr>
                <w:b/>
              </w:rPr>
            </w:pPr>
            <w:r>
              <w:rPr>
                <w:b/>
              </w:rPr>
              <w:t>5.</w:t>
            </w:r>
          </w:p>
        </w:tc>
        <w:tc>
          <w:tcPr>
            <w:tcW w:w="5537" w:type="dxa"/>
            <w:shd w:val="clear" w:color="auto" w:fill="C0C0C0"/>
          </w:tcPr>
          <w:p w:rsidR="0055128A" w:rsidRDefault="0055128A" w:rsidP="00FC2EC8">
            <w:r>
              <w:t>Zasoby kadrowe (kwalifikacje i doświadczenie osób bezpośrednio zaangażowanych w realizację projektu)</w:t>
            </w:r>
          </w:p>
        </w:tc>
        <w:tc>
          <w:tcPr>
            <w:tcW w:w="3119" w:type="dxa"/>
            <w:shd w:val="clear" w:color="auto" w:fill="C0C0C0"/>
          </w:tcPr>
          <w:p w:rsidR="0055128A" w:rsidRDefault="0055128A" w:rsidP="00FC2EC8">
            <w:pPr>
              <w:jc w:val="center"/>
            </w:pPr>
            <w:r>
              <w:t>0-3pkt.</w:t>
            </w:r>
          </w:p>
        </w:tc>
      </w:tr>
      <w:tr w:rsidR="0055128A" w:rsidTr="00FC2EC8">
        <w:trPr>
          <w:cantSplit/>
        </w:trPr>
        <w:tc>
          <w:tcPr>
            <w:tcW w:w="770" w:type="dxa"/>
          </w:tcPr>
          <w:p w:rsidR="0055128A" w:rsidRDefault="0055128A" w:rsidP="00FC2EC8">
            <w:pPr>
              <w:jc w:val="both"/>
              <w:rPr>
                <w:b/>
              </w:rPr>
            </w:pPr>
            <w:r>
              <w:rPr>
                <w:b/>
              </w:rPr>
              <w:t>6.</w:t>
            </w:r>
          </w:p>
        </w:tc>
        <w:tc>
          <w:tcPr>
            <w:tcW w:w="5537" w:type="dxa"/>
            <w:shd w:val="clear" w:color="auto" w:fill="C0C0C0"/>
          </w:tcPr>
          <w:p w:rsidR="0055128A" w:rsidRDefault="0055128A" w:rsidP="00B927D4">
            <w:r>
              <w:t>Wysokość  deklarowanych środków własnych</w:t>
            </w:r>
          </w:p>
        </w:tc>
        <w:tc>
          <w:tcPr>
            <w:tcW w:w="3119" w:type="dxa"/>
            <w:shd w:val="clear" w:color="auto" w:fill="C0C0C0"/>
          </w:tcPr>
          <w:p w:rsidR="0055128A" w:rsidRDefault="0055128A" w:rsidP="00FC2EC8">
            <w:pPr>
              <w:jc w:val="center"/>
            </w:pPr>
            <w:r>
              <w:t>0-5 pkt</w:t>
            </w:r>
          </w:p>
        </w:tc>
      </w:tr>
      <w:tr w:rsidR="0055128A" w:rsidTr="00FC2EC8">
        <w:trPr>
          <w:cantSplit/>
          <w:trHeight w:val="711"/>
        </w:trPr>
        <w:tc>
          <w:tcPr>
            <w:tcW w:w="770" w:type="dxa"/>
          </w:tcPr>
          <w:p w:rsidR="0055128A" w:rsidRDefault="0055128A" w:rsidP="00FC2EC8">
            <w:pPr>
              <w:jc w:val="both"/>
              <w:rPr>
                <w:b/>
              </w:rPr>
            </w:pPr>
            <w:r>
              <w:rPr>
                <w:b/>
              </w:rPr>
              <w:t>7.</w:t>
            </w:r>
          </w:p>
        </w:tc>
        <w:tc>
          <w:tcPr>
            <w:tcW w:w="5537" w:type="dxa"/>
            <w:shd w:val="clear" w:color="auto" w:fill="C0C0C0"/>
          </w:tcPr>
          <w:p w:rsidR="0055128A" w:rsidRDefault="0055128A" w:rsidP="00FC2EC8">
            <w:pPr>
              <w:pStyle w:val="NormalWeb"/>
            </w:pPr>
            <w:r>
              <w:t>Zgodność zawartości merytorycznej oferty z priorytetami współpracy na dany rok budżetowy</w:t>
            </w:r>
          </w:p>
        </w:tc>
        <w:tc>
          <w:tcPr>
            <w:tcW w:w="3119" w:type="dxa"/>
            <w:shd w:val="clear" w:color="auto" w:fill="C0C0C0"/>
          </w:tcPr>
          <w:p w:rsidR="0055128A" w:rsidRDefault="0055128A" w:rsidP="00FC2EC8">
            <w:pPr>
              <w:pStyle w:val="NormalWeb"/>
              <w:jc w:val="center"/>
            </w:pPr>
            <w:r>
              <w:t>0-2pkt.</w:t>
            </w:r>
          </w:p>
        </w:tc>
      </w:tr>
      <w:tr w:rsidR="0055128A" w:rsidTr="00FC2EC8">
        <w:trPr>
          <w:cantSplit/>
        </w:trPr>
        <w:tc>
          <w:tcPr>
            <w:tcW w:w="770" w:type="dxa"/>
          </w:tcPr>
          <w:p w:rsidR="0055128A" w:rsidRDefault="0055128A" w:rsidP="00FC2EC8">
            <w:pPr>
              <w:jc w:val="both"/>
              <w:rPr>
                <w:b/>
              </w:rPr>
            </w:pPr>
            <w:r>
              <w:rPr>
                <w:b/>
              </w:rPr>
              <w:t>8.</w:t>
            </w:r>
          </w:p>
        </w:tc>
        <w:tc>
          <w:tcPr>
            <w:tcW w:w="5537" w:type="dxa"/>
            <w:shd w:val="clear" w:color="auto" w:fill="C0C0C0"/>
          </w:tcPr>
          <w:p w:rsidR="0055128A" w:rsidRDefault="0055128A" w:rsidP="006E2863">
            <w:pPr>
              <w:jc w:val="both"/>
            </w:pPr>
            <w:r>
              <w:t>Zasięg terytorialny efektu oddziaływania.</w:t>
            </w:r>
          </w:p>
        </w:tc>
        <w:tc>
          <w:tcPr>
            <w:tcW w:w="3119" w:type="dxa"/>
            <w:shd w:val="clear" w:color="auto" w:fill="C0C0C0"/>
          </w:tcPr>
          <w:p w:rsidR="0055128A" w:rsidRDefault="0055128A" w:rsidP="00FC2EC8">
            <w:pPr>
              <w:jc w:val="center"/>
            </w:pPr>
            <w:r>
              <w:t>0-3 pkt.</w:t>
            </w:r>
          </w:p>
        </w:tc>
      </w:tr>
      <w:tr w:rsidR="0055128A" w:rsidTr="00FC2EC8">
        <w:trPr>
          <w:cantSplit/>
        </w:trPr>
        <w:tc>
          <w:tcPr>
            <w:tcW w:w="770" w:type="dxa"/>
          </w:tcPr>
          <w:p w:rsidR="0055128A" w:rsidRDefault="0055128A" w:rsidP="00FC2EC8">
            <w:pPr>
              <w:jc w:val="both"/>
              <w:rPr>
                <w:b/>
              </w:rPr>
            </w:pPr>
            <w:r>
              <w:rPr>
                <w:b/>
              </w:rPr>
              <w:t>9.</w:t>
            </w:r>
          </w:p>
        </w:tc>
        <w:tc>
          <w:tcPr>
            <w:tcW w:w="5537" w:type="dxa"/>
            <w:shd w:val="clear" w:color="auto" w:fill="C0C0C0"/>
          </w:tcPr>
          <w:p w:rsidR="0055128A" w:rsidRDefault="0055128A" w:rsidP="005676B8">
            <w:pPr>
              <w:jc w:val="both"/>
            </w:pPr>
            <w:r>
              <w:t>Liczba uczestników biorących udział w projekcie</w:t>
            </w:r>
          </w:p>
        </w:tc>
        <w:tc>
          <w:tcPr>
            <w:tcW w:w="3119" w:type="dxa"/>
            <w:shd w:val="clear" w:color="auto" w:fill="C0C0C0"/>
          </w:tcPr>
          <w:p w:rsidR="0055128A" w:rsidRDefault="0055128A" w:rsidP="004E1914">
            <w:pPr>
              <w:jc w:val="center"/>
            </w:pPr>
            <w:r>
              <w:t>0-3 pkt</w:t>
            </w:r>
          </w:p>
        </w:tc>
      </w:tr>
      <w:tr w:rsidR="0055128A" w:rsidTr="00FC2EC8">
        <w:trPr>
          <w:cantSplit/>
        </w:trPr>
        <w:tc>
          <w:tcPr>
            <w:tcW w:w="770" w:type="dxa"/>
          </w:tcPr>
          <w:p w:rsidR="0055128A" w:rsidRDefault="0055128A" w:rsidP="00FC2EC8">
            <w:pPr>
              <w:jc w:val="both"/>
              <w:rPr>
                <w:b/>
              </w:rPr>
            </w:pPr>
            <w:r>
              <w:rPr>
                <w:b/>
              </w:rPr>
              <w:t>10.</w:t>
            </w:r>
          </w:p>
        </w:tc>
        <w:tc>
          <w:tcPr>
            <w:tcW w:w="5537" w:type="dxa"/>
            <w:shd w:val="clear" w:color="auto" w:fill="C0C0C0"/>
          </w:tcPr>
          <w:p w:rsidR="0055128A" w:rsidRDefault="0055128A" w:rsidP="00FC2EC8">
            <w:pPr>
              <w:jc w:val="both"/>
            </w:pPr>
            <w:r>
              <w:t>Kalkulacja kosztów :</w:t>
            </w:r>
          </w:p>
          <w:p w:rsidR="0055128A" w:rsidRDefault="0055128A" w:rsidP="00FC2EC8">
            <w:pPr>
              <w:jc w:val="both"/>
            </w:pPr>
            <w:r>
              <w:t>- zasadność przedstawionych w projekcie kosztów,</w:t>
            </w:r>
          </w:p>
          <w:p w:rsidR="0055128A" w:rsidRDefault="0055128A" w:rsidP="00FC2EC8">
            <w:pPr>
              <w:jc w:val="both"/>
            </w:pPr>
            <w:r>
              <w:t>- ilość źródeł finansowania,</w:t>
            </w:r>
          </w:p>
          <w:p w:rsidR="0055128A" w:rsidRDefault="0055128A" w:rsidP="00707036">
            <w:pPr>
              <w:ind w:left="223" w:hanging="223"/>
              <w:jc w:val="both"/>
            </w:pPr>
            <w:r>
              <w:t>- wkład osobowy, w tym świadczenia wolontariuszy i praca społeczna członków</w:t>
            </w:r>
          </w:p>
        </w:tc>
        <w:tc>
          <w:tcPr>
            <w:tcW w:w="3119" w:type="dxa"/>
            <w:shd w:val="clear" w:color="auto" w:fill="C0C0C0"/>
          </w:tcPr>
          <w:p w:rsidR="0055128A" w:rsidRDefault="0055128A" w:rsidP="004E1914">
            <w:pPr>
              <w:jc w:val="center"/>
            </w:pPr>
            <w:r>
              <w:t>0-3 pkt.</w:t>
            </w:r>
          </w:p>
        </w:tc>
      </w:tr>
      <w:tr w:rsidR="0055128A" w:rsidTr="00FC2EC8">
        <w:trPr>
          <w:cantSplit/>
        </w:trPr>
        <w:tc>
          <w:tcPr>
            <w:tcW w:w="770" w:type="dxa"/>
          </w:tcPr>
          <w:p w:rsidR="0055128A" w:rsidRDefault="0055128A" w:rsidP="005676B8">
            <w:pPr>
              <w:jc w:val="both"/>
              <w:rPr>
                <w:b/>
              </w:rPr>
            </w:pPr>
            <w:r>
              <w:rPr>
                <w:b/>
              </w:rPr>
              <w:t>11.</w:t>
            </w:r>
          </w:p>
        </w:tc>
        <w:tc>
          <w:tcPr>
            <w:tcW w:w="5537" w:type="dxa"/>
            <w:shd w:val="clear" w:color="auto" w:fill="C0C0C0"/>
          </w:tcPr>
          <w:p w:rsidR="0055128A" w:rsidRDefault="0055128A" w:rsidP="00FC2EC8">
            <w:pPr>
              <w:jc w:val="both"/>
            </w:pPr>
            <w:r>
              <w:t>Rezultaty realizacji projektu:</w:t>
            </w:r>
          </w:p>
          <w:p w:rsidR="0055128A" w:rsidRDefault="0055128A" w:rsidP="00FC2EC8">
            <w:pPr>
              <w:jc w:val="both"/>
            </w:pPr>
            <w:r>
              <w:t>- efekty ilościowe i jakościowe działania,</w:t>
            </w:r>
          </w:p>
          <w:p w:rsidR="0055128A" w:rsidRDefault="0055128A" w:rsidP="00FC2EC8">
            <w:pPr>
              <w:jc w:val="both"/>
            </w:pPr>
            <w:r>
              <w:t>- trwałość efektów po zakończeniu realizacji zadania</w:t>
            </w:r>
          </w:p>
        </w:tc>
        <w:tc>
          <w:tcPr>
            <w:tcW w:w="3119" w:type="dxa"/>
            <w:shd w:val="clear" w:color="auto" w:fill="C0C0C0"/>
          </w:tcPr>
          <w:p w:rsidR="0055128A" w:rsidRDefault="0055128A" w:rsidP="00FC2EC8">
            <w:pPr>
              <w:jc w:val="center"/>
            </w:pPr>
            <w:r>
              <w:t>0-2 pkt.</w:t>
            </w:r>
          </w:p>
        </w:tc>
      </w:tr>
      <w:tr w:rsidR="0055128A" w:rsidTr="00FC2EC8">
        <w:trPr>
          <w:cantSplit/>
        </w:trPr>
        <w:tc>
          <w:tcPr>
            <w:tcW w:w="770" w:type="dxa"/>
          </w:tcPr>
          <w:p w:rsidR="0055128A" w:rsidRDefault="0055128A" w:rsidP="005676B8">
            <w:pPr>
              <w:jc w:val="both"/>
              <w:rPr>
                <w:b/>
              </w:rPr>
            </w:pPr>
            <w:r>
              <w:rPr>
                <w:b/>
              </w:rPr>
              <w:t>12.</w:t>
            </w:r>
          </w:p>
        </w:tc>
        <w:tc>
          <w:tcPr>
            <w:tcW w:w="5537" w:type="dxa"/>
            <w:shd w:val="clear" w:color="auto" w:fill="C0C0C0"/>
          </w:tcPr>
          <w:p w:rsidR="0055128A" w:rsidRDefault="0055128A" w:rsidP="00FC2EC8">
            <w:pPr>
              <w:jc w:val="both"/>
            </w:pPr>
            <w:r>
              <w:t xml:space="preserve">Liczba partnerów uczestniczących w realizacji projektu </w:t>
            </w:r>
          </w:p>
        </w:tc>
        <w:tc>
          <w:tcPr>
            <w:tcW w:w="3119" w:type="dxa"/>
            <w:shd w:val="clear" w:color="auto" w:fill="C0C0C0"/>
          </w:tcPr>
          <w:p w:rsidR="0055128A" w:rsidRDefault="0055128A" w:rsidP="00FC2EC8">
            <w:pPr>
              <w:jc w:val="center"/>
            </w:pPr>
            <w:r>
              <w:t>0-2 pkt.</w:t>
            </w:r>
          </w:p>
        </w:tc>
      </w:tr>
      <w:tr w:rsidR="0055128A" w:rsidTr="00FC2EC8">
        <w:trPr>
          <w:cantSplit/>
        </w:trPr>
        <w:tc>
          <w:tcPr>
            <w:tcW w:w="770" w:type="dxa"/>
          </w:tcPr>
          <w:p w:rsidR="0055128A" w:rsidRDefault="0055128A" w:rsidP="005676B8">
            <w:pPr>
              <w:jc w:val="both"/>
              <w:rPr>
                <w:b/>
              </w:rPr>
            </w:pPr>
            <w:r>
              <w:rPr>
                <w:b/>
              </w:rPr>
              <w:t>13.</w:t>
            </w:r>
          </w:p>
        </w:tc>
        <w:tc>
          <w:tcPr>
            <w:tcW w:w="5537" w:type="dxa"/>
            <w:shd w:val="clear" w:color="auto" w:fill="C0C0C0"/>
          </w:tcPr>
          <w:p w:rsidR="0055128A" w:rsidRDefault="0055128A" w:rsidP="00FC2EC8">
            <w:pPr>
              <w:jc w:val="both"/>
            </w:pPr>
            <w:r>
              <w:t>Innowacyjność projektu</w:t>
            </w:r>
          </w:p>
        </w:tc>
        <w:tc>
          <w:tcPr>
            <w:tcW w:w="3119" w:type="dxa"/>
            <w:shd w:val="clear" w:color="auto" w:fill="C0C0C0"/>
          </w:tcPr>
          <w:p w:rsidR="0055128A" w:rsidRDefault="0055128A" w:rsidP="00FC2EC8">
            <w:pPr>
              <w:jc w:val="center"/>
            </w:pPr>
            <w:r>
              <w:t>0-1 pkt.</w:t>
            </w:r>
          </w:p>
        </w:tc>
      </w:tr>
      <w:tr w:rsidR="0055128A" w:rsidTr="00FC2EC8">
        <w:trPr>
          <w:trHeight w:val="257"/>
        </w:trPr>
        <w:tc>
          <w:tcPr>
            <w:tcW w:w="770" w:type="dxa"/>
          </w:tcPr>
          <w:p w:rsidR="0055128A" w:rsidRDefault="0055128A" w:rsidP="005676B8">
            <w:pPr>
              <w:jc w:val="both"/>
              <w:rPr>
                <w:b/>
              </w:rPr>
            </w:pPr>
            <w:r>
              <w:rPr>
                <w:b/>
              </w:rPr>
              <w:t>14</w:t>
            </w:r>
          </w:p>
        </w:tc>
        <w:tc>
          <w:tcPr>
            <w:tcW w:w="5537" w:type="dxa"/>
            <w:shd w:val="clear" w:color="auto" w:fill="C0C0C0"/>
          </w:tcPr>
          <w:p w:rsidR="0055128A" w:rsidRDefault="0055128A" w:rsidP="00FC2EC8">
            <w:pPr>
              <w:jc w:val="both"/>
            </w:pPr>
            <w:r>
              <w:t>Perspektywa kontynuacji projektu</w:t>
            </w:r>
          </w:p>
        </w:tc>
        <w:tc>
          <w:tcPr>
            <w:tcW w:w="3119" w:type="dxa"/>
            <w:shd w:val="clear" w:color="auto" w:fill="C0C0C0"/>
          </w:tcPr>
          <w:p w:rsidR="0055128A" w:rsidRDefault="0055128A" w:rsidP="00FC2EC8">
            <w:pPr>
              <w:jc w:val="center"/>
            </w:pPr>
            <w:r>
              <w:t>0-2 pkt.</w:t>
            </w:r>
          </w:p>
        </w:tc>
      </w:tr>
      <w:tr w:rsidR="0055128A" w:rsidTr="00FC2EC8">
        <w:trPr>
          <w:trHeight w:val="257"/>
        </w:trPr>
        <w:tc>
          <w:tcPr>
            <w:tcW w:w="770" w:type="dxa"/>
          </w:tcPr>
          <w:p w:rsidR="0055128A" w:rsidRDefault="0055128A" w:rsidP="00FC2EC8">
            <w:pPr>
              <w:jc w:val="both"/>
              <w:rPr>
                <w:b/>
              </w:rPr>
            </w:pPr>
          </w:p>
        </w:tc>
        <w:tc>
          <w:tcPr>
            <w:tcW w:w="5537" w:type="dxa"/>
            <w:shd w:val="clear" w:color="auto" w:fill="C0C0C0"/>
          </w:tcPr>
          <w:p w:rsidR="0055128A" w:rsidRPr="00322A6F" w:rsidRDefault="0055128A" w:rsidP="00FC2EC8">
            <w:pPr>
              <w:jc w:val="center"/>
              <w:rPr>
                <w:b/>
              </w:rPr>
            </w:pPr>
            <w:r w:rsidRPr="00322A6F">
              <w:rPr>
                <w:b/>
              </w:rPr>
              <w:t>Ogółem maksymalnie:</w:t>
            </w:r>
          </w:p>
        </w:tc>
        <w:tc>
          <w:tcPr>
            <w:tcW w:w="3119" w:type="dxa"/>
            <w:shd w:val="clear" w:color="auto" w:fill="C0C0C0"/>
          </w:tcPr>
          <w:p w:rsidR="0055128A" w:rsidRPr="00322A6F" w:rsidRDefault="0055128A" w:rsidP="0086727E">
            <w:pPr>
              <w:jc w:val="center"/>
              <w:rPr>
                <w:b/>
              </w:rPr>
            </w:pPr>
            <w:r>
              <w:rPr>
                <w:b/>
              </w:rPr>
              <w:t>35</w:t>
            </w:r>
            <w:r w:rsidRPr="00322A6F">
              <w:rPr>
                <w:b/>
              </w:rPr>
              <w:t xml:space="preserve"> pkt.</w:t>
            </w:r>
          </w:p>
        </w:tc>
      </w:tr>
    </w:tbl>
    <w:p w:rsidR="0055128A" w:rsidRDefault="0055128A" w:rsidP="004616B2">
      <w:pPr>
        <w:jc w:val="both"/>
        <w:rPr>
          <w:b/>
        </w:rPr>
      </w:pPr>
    </w:p>
    <w:p w:rsidR="0055128A" w:rsidRPr="00D0656E" w:rsidRDefault="0055128A" w:rsidP="004616B2">
      <w:pPr>
        <w:jc w:val="both"/>
      </w:pPr>
      <w:r w:rsidRPr="00D0656E">
        <w:t>W 201</w:t>
      </w:r>
      <w:r>
        <w:t>4</w:t>
      </w:r>
      <w:r w:rsidRPr="00D0656E">
        <w:t xml:space="preserve"> roku na realizację w/w zadań z zakresu działań na rzecz ekologii i ochrony zwierząt oraz ochrony dziedzictwa przyrodniczego Samorząd Województwa prze</w:t>
      </w:r>
      <w:r>
        <w:t xml:space="preserve">znaczył dotację </w:t>
      </w:r>
      <w:r>
        <w:br/>
        <w:t>w wysokości – 45</w:t>
      </w:r>
      <w:r w:rsidRPr="00D0656E">
        <w:t xml:space="preserve"> 000,00 zł.</w:t>
      </w:r>
    </w:p>
    <w:p w:rsidR="0055128A" w:rsidRDefault="0055128A" w:rsidP="004616B2">
      <w:pPr>
        <w:jc w:val="both"/>
        <w:rPr>
          <w:b/>
        </w:rPr>
      </w:pPr>
    </w:p>
    <w:p w:rsidR="0055128A" w:rsidRDefault="0055128A" w:rsidP="004616B2">
      <w:pPr>
        <w:jc w:val="both"/>
        <w:rPr>
          <w:b/>
          <w:u w:val="single"/>
        </w:rPr>
      </w:pPr>
      <w:r>
        <w:rPr>
          <w:b/>
          <w:u w:val="single"/>
        </w:rPr>
        <w:t>Terminy składania i realizacji zadań</w:t>
      </w:r>
    </w:p>
    <w:p w:rsidR="0055128A" w:rsidRPr="001E0C81" w:rsidRDefault="0055128A" w:rsidP="004616B2">
      <w:pPr>
        <w:jc w:val="both"/>
        <w:rPr>
          <w:sz w:val="16"/>
          <w:szCs w:val="16"/>
        </w:rPr>
      </w:pPr>
    </w:p>
    <w:p w:rsidR="0055128A" w:rsidRPr="00061414" w:rsidRDefault="0055128A" w:rsidP="00061414">
      <w:pPr>
        <w:numPr>
          <w:ilvl w:val="0"/>
          <w:numId w:val="4"/>
        </w:numPr>
        <w:tabs>
          <w:tab w:val="num" w:pos="360"/>
        </w:tabs>
        <w:ind w:left="360"/>
        <w:jc w:val="both"/>
        <w:rPr>
          <w:b/>
        </w:rPr>
      </w:pPr>
      <w:r>
        <w:t xml:space="preserve">Dofinansowanie realizacji zadania przez Samorząd Województwa Świętokrzyskiego obejmuje realizację zadania które rozpoczyna się nie wcześniej niż </w:t>
      </w:r>
      <w:r w:rsidRPr="00A54D4E">
        <w:rPr>
          <w:b/>
        </w:rPr>
        <w:t xml:space="preserve">2 </w:t>
      </w:r>
      <w:r>
        <w:rPr>
          <w:b/>
        </w:rPr>
        <w:t>marca</w:t>
      </w:r>
      <w:r w:rsidRPr="00061414">
        <w:rPr>
          <w:b/>
        </w:rPr>
        <w:t>, kończy się nie później niż 3</w:t>
      </w:r>
      <w:r>
        <w:rPr>
          <w:b/>
        </w:rPr>
        <w:t>0</w:t>
      </w:r>
      <w:r w:rsidRPr="00061414">
        <w:rPr>
          <w:b/>
        </w:rPr>
        <w:t xml:space="preserve"> </w:t>
      </w:r>
      <w:r>
        <w:rPr>
          <w:b/>
        </w:rPr>
        <w:t>listopada</w:t>
      </w:r>
      <w:r w:rsidRPr="00061414">
        <w:rPr>
          <w:b/>
        </w:rPr>
        <w:t xml:space="preserve"> 201</w:t>
      </w:r>
      <w:r>
        <w:rPr>
          <w:b/>
        </w:rPr>
        <w:t>5</w:t>
      </w:r>
      <w:r w:rsidRPr="00061414">
        <w:rPr>
          <w:b/>
        </w:rPr>
        <w:t>.</w:t>
      </w:r>
    </w:p>
    <w:p w:rsidR="0055128A" w:rsidRDefault="0055128A" w:rsidP="004616B2">
      <w:pPr>
        <w:numPr>
          <w:ilvl w:val="0"/>
          <w:numId w:val="4"/>
        </w:numPr>
        <w:tabs>
          <w:tab w:val="num" w:pos="360"/>
        </w:tabs>
        <w:ind w:left="360"/>
        <w:jc w:val="both"/>
        <w:rPr>
          <w:i/>
          <w:u w:val="single"/>
        </w:rPr>
      </w:pPr>
      <w:r>
        <w:t xml:space="preserve">Kompletne oferty należy składać w zaklejonych i opieczętowanych kopertach z dopiskiem </w:t>
      </w:r>
      <w:r>
        <w:rPr>
          <w:i/>
        </w:rPr>
        <w:t>Konkurs ofert i podać nazwę zadania:</w:t>
      </w:r>
    </w:p>
    <w:p w:rsidR="0055128A" w:rsidRDefault="0055128A" w:rsidP="004616B2">
      <w:pPr>
        <w:pStyle w:val="BodyText"/>
        <w:ind w:left="720" w:hanging="360"/>
        <w:jc w:val="both"/>
        <w:rPr>
          <w:i/>
          <w:sz w:val="16"/>
          <w:szCs w:val="16"/>
        </w:rPr>
      </w:pPr>
      <w:r>
        <w:rPr>
          <w:i/>
          <w:sz w:val="24"/>
        </w:rPr>
        <w:t>- Organizowanie konkursów, olimpiad, konferencji i seminariów popularyzujących zagadnienia dotyczące ochrony środowiska i przyrody;</w:t>
      </w:r>
    </w:p>
    <w:p w:rsidR="0055128A" w:rsidRDefault="0055128A" w:rsidP="004616B2">
      <w:pPr>
        <w:pStyle w:val="BodyText"/>
        <w:ind w:left="720" w:hanging="360"/>
        <w:jc w:val="both"/>
        <w:rPr>
          <w:i/>
          <w:sz w:val="24"/>
        </w:rPr>
      </w:pPr>
      <w:r>
        <w:rPr>
          <w:i/>
          <w:sz w:val="24"/>
        </w:rPr>
        <w:t>- Opracowywanie i wydawanie niskonakładowych, niekomercyjnych materiałów wydawniczych związanych z ochroną środowiska i przyrody;</w:t>
      </w:r>
    </w:p>
    <w:p w:rsidR="0055128A" w:rsidRPr="00111D5C" w:rsidRDefault="0055128A" w:rsidP="00111D5C">
      <w:pPr>
        <w:pStyle w:val="BodyText"/>
        <w:tabs>
          <w:tab w:val="left" w:pos="709"/>
        </w:tabs>
        <w:ind w:left="720" w:hanging="360"/>
        <w:jc w:val="both"/>
        <w:rPr>
          <w:i/>
          <w:sz w:val="24"/>
        </w:rPr>
      </w:pPr>
      <w:r>
        <w:rPr>
          <w:i/>
          <w:sz w:val="24"/>
        </w:rPr>
        <w:t xml:space="preserve">- </w:t>
      </w:r>
      <w:r>
        <w:rPr>
          <w:i/>
          <w:sz w:val="24"/>
        </w:rPr>
        <w:tab/>
        <w:t>Działania edukacyjne związane z zieloną infrastrukturą – ścieżki przyrodniczo-edukacyjne.</w:t>
      </w:r>
    </w:p>
    <w:p w:rsidR="0055128A" w:rsidRPr="001E0C81" w:rsidRDefault="0055128A" w:rsidP="004616B2">
      <w:pPr>
        <w:pStyle w:val="BodyText"/>
        <w:ind w:left="540" w:hanging="180"/>
        <w:jc w:val="both"/>
        <w:rPr>
          <w:sz w:val="16"/>
          <w:szCs w:val="16"/>
        </w:rPr>
      </w:pPr>
    </w:p>
    <w:p w:rsidR="0055128A" w:rsidRDefault="0055128A" w:rsidP="004616B2">
      <w:pPr>
        <w:ind w:left="360"/>
        <w:jc w:val="both"/>
        <w:rPr>
          <w:i/>
          <w:u w:val="single"/>
        </w:rPr>
      </w:pPr>
      <w:r>
        <w:rPr>
          <w:b/>
          <w:i/>
        </w:rPr>
        <w:t xml:space="preserve"> w</w:t>
      </w:r>
      <w:r>
        <w:rPr>
          <w:b/>
        </w:rPr>
        <w:t xml:space="preserve"> nieprzekraczalnym terminie 21 dni od dnia ogłoszenia</w:t>
      </w:r>
      <w:r>
        <w:t>, w sekretariacie Departamentu Rozwoju Obszarów Wiejskich i Środowiska Urzędu Marszałkowskiego Województwa Świętokrzyskiego Al. IX Wieków Kielc 3, 25-516 Kielce /</w:t>
      </w:r>
      <w:r>
        <w:rPr>
          <w:i/>
        </w:rPr>
        <w:t>Budynek C2,</w:t>
      </w:r>
      <w:r>
        <w:rPr>
          <w:i/>
        </w:rPr>
        <w:br/>
        <w:t xml:space="preserve"> I piętro pok. 331 / </w:t>
      </w:r>
      <w:r>
        <w:t>lub pocztą /</w:t>
      </w:r>
      <w:r>
        <w:rPr>
          <w:i/>
        </w:rPr>
        <w:t>decyduje data wpływu oferty do Urzędu Marszałkowskiego, potwierdzona pieczęcią wpływu, a nie data stempla pocztowego/.</w:t>
      </w:r>
    </w:p>
    <w:p w:rsidR="0055128A" w:rsidRPr="00D4254C" w:rsidRDefault="0055128A" w:rsidP="004616B2">
      <w:pPr>
        <w:numPr>
          <w:ilvl w:val="0"/>
          <w:numId w:val="4"/>
        </w:numPr>
        <w:tabs>
          <w:tab w:val="num" w:pos="360"/>
        </w:tabs>
        <w:ind w:left="360"/>
        <w:jc w:val="both"/>
        <w:rPr>
          <w:u w:val="single"/>
        </w:rPr>
      </w:pPr>
      <w:r>
        <w:t>Złożone oferty rozpatrzone zostaną w terminie 30 dni od dnia upływu terminu składania wniosków przez Komisję Konkursową powołaną przez Zarząd Województwa Świętokrzyskiego.</w:t>
      </w:r>
    </w:p>
    <w:p w:rsidR="0055128A" w:rsidRPr="002B5F31" w:rsidRDefault="0055128A" w:rsidP="002B5F31">
      <w:pPr>
        <w:numPr>
          <w:ilvl w:val="0"/>
          <w:numId w:val="4"/>
        </w:numPr>
        <w:tabs>
          <w:tab w:val="num" w:pos="360"/>
        </w:tabs>
        <w:ind w:left="360"/>
        <w:jc w:val="both"/>
        <w:rPr>
          <w:u w:val="single"/>
        </w:rPr>
      </w:pPr>
      <w:r>
        <w:t xml:space="preserve">W przypadku odstąpienia od zawarcia umowy oferent ma obowiązek pisemnie powiadomić Departament Rozwoju Obszarów Wiejskich i Środowiska o swojej decyzji </w:t>
      </w:r>
      <w:r>
        <w:br/>
        <w:t>w terminie 14 dni od daty otrzymania informacji o przyznanej dotacji.</w:t>
      </w:r>
    </w:p>
    <w:p w:rsidR="0055128A" w:rsidRPr="00853A30" w:rsidRDefault="0055128A" w:rsidP="004616B2">
      <w:pPr>
        <w:pStyle w:val="Title"/>
        <w:numPr>
          <w:ilvl w:val="0"/>
          <w:numId w:val="4"/>
        </w:numPr>
        <w:tabs>
          <w:tab w:val="clear" w:pos="720"/>
        </w:tabs>
        <w:ind w:left="426" w:hanging="426"/>
        <w:jc w:val="both"/>
        <w:rPr>
          <w:rFonts w:ascii="Times New Roman" w:hAnsi="Times New Roman"/>
          <w:b w:val="0"/>
          <w:bCs/>
          <w:color w:val="000000"/>
          <w:sz w:val="24"/>
          <w:szCs w:val="24"/>
        </w:rPr>
      </w:pPr>
      <w:r w:rsidRPr="00853A30">
        <w:rPr>
          <w:rFonts w:ascii="Times New Roman" w:hAnsi="Times New Roman"/>
          <w:b w:val="0"/>
          <w:bCs/>
          <w:color w:val="000000"/>
          <w:sz w:val="24"/>
          <w:szCs w:val="24"/>
        </w:rPr>
        <w:t xml:space="preserve">Zleceniobiorca zobowiązany jest do złożenia sprawozdania w terminie 30 dni od dnia zakończenia realizacji zadania. </w:t>
      </w:r>
    </w:p>
    <w:p w:rsidR="0055128A" w:rsidRPr="00796037" w:rsidRDefault="0055128A" w:rsidP="004616B2">
      <w:pPr>
        <w:pStyle w:val="Title"/>
        <w:numPr>
          <w:ilvl w:val="0"/>
          <w:numId w:val="4"/>
        </w:numPr>
        <w:tabs>
          <w:tab w:val="clear" w:pos="720"/>
        </w:tabs>
        <w:ind w:left="426" w:hanging="426"/>
        <w:jc w:val="both"/>
        <w:rPr>
          <w:rFonts w:ascii="Times New Roman" w:hAnsi="Times New Roman"/>
          <w:b w:val="0"/>
          <w:bCs/>
          <w:i/>
          <w:color w:val="000000"/>
          <w:sz w:val="24"/>
          <w:szCs w:val="24"/>
        </w:rPr>
      </w:pPr>
      <w:r w:rsidRPr="00853A30">
        <w:rPr>
          <w:rFonts w:ascii="Times New Roman" w:hAnsi="Times New Roman"/>
          <w:b w:val="0"/>
          <w:sz w:val="24"/>
          <w:szCs w:val="24"/>
        </w:rPr>
        <w:t xml:space="preserve">Do sprawozdania należy załączyć materiały dokumentujące działania faktycznie podjęte przy realizacji zadania, </w:t>
      </w:r>
      <w:r>
        <w:rPr>
          <w:rFonts w:ascii="Times New Roman" w:hAnsi="Times New Roman"/>
          <w:b w:val="0"/>
          <w:sz w:val="24"/>
          <w:szCs w:val="24"/>
        </w:rPr>
        <w:t>tj</w:t>
      </w:r>
      <w:r w:rsidRPr="00853A30">
        <w:rPr>
          <w:rFonts w:ascii="Times New Roman" w:hAnsi="Times New Roman"/>
          <w:b w:val="0"/>
          <w:sz w:val="24"/>
          <w:szCs w:val="24"/>
        </w:rPr>
        <w:t xml:space="preserve">.: listy uczestników, </w:t>
      </w:r>
      <w:r>
        <w:rPr>
          <w:rFonts w:ascii="Times New Roman" w:hAnsi="Times New Roman"/>
          <w:b w:val="0"/>
          <w:sz w:val="24"/>
          <w:szCs w:val="24"/>
        </w:rPr>
        <w:t xml:space="preserve">regulamin konkursu, </w:t>
      </w:r>
      <w:r w:rsidRPr="00853A30">
        <w:rPr>
          <w:rFonts w:ascii="Times New Roman" w:hAnsi="Times New Roman"/>
          <w:b w:val="0"/>
          <w:sz w:val="24"/>
          <w:szCs w:val="24"/>
        </w:rPr>
        <w:t xml:space="preserve">potwierdzenie przekazania nagród, publikacje wydane w ramach projektu (plakaty, ulotki, konspekty), kopie umów cywilnoprawnych, kopie faktur (rachunków), które opłacone zostały </w:t>
      </w:r>
      <w:r>
        <w:rPr>
          <w:rFonts w:ascii="Times New Roman" w:hAnsi="Times New Roman"/>
          <w:b w:val="0"/>
          <w:sz w:val="24"/>
          <w:szCs w:val="24"/>
        </w:rPr>
        <w:br/>
      </w:r>
      <w:r w:rsidRPr="00853A30">
        <w:rPr>
          <w:rFonts w:ascii="Times New Roman" w:hAnsi="Times New Roman"/>
          <w:b w:val="0"/>
          <w:sz w:val="24"/>
          <w:szCs w:val="24"/>
        </w:rPr>
        <w:t>w całości lub w części ze środków pochodzących z dotacji.</w:t>
      </w:r>
    </w:p>
    <w:p w:rsidR="0055128A" w:rsidRPr="00853A30" w:rsidRDefault="0055128A" w:rsidP="004616B2">
      <w:pPr>
        <w:pStyle w:val="Title"/>
        <w:numPr>
          <w:ilvl w:val="0"/>
          <w:numId w:val="4"/>
        </w:numPr>
        <w:tabs>
          <w:tab w:val="clear" w:pos="720"/>
        </w:tabs>
        <w:ind w:left="426" w:hanging="426"/>
        <w:jc w:val="both"/>
        <w:rPr>
          <w:rFonts w:ascii="Times New Roman" w:hAnsi="Times New Roman"/>
          <w:b w:val="0"/>
          <w:bCs/>
          <w:i/>
          <w:color w:val="000000"/>
          <w:sz w:val="24"/>
          <w:szCs w:val="24"/>
        </w:rPr>
      </w:pPr>
      <w:r>
        <w:rPr>
          <w:rFonts w:ascii="Times New Roman" w:hAnsi="Times New Roman"/>
          <w:b w:val="0"/>
          <w:sz w:val="24"/>
          <w:szCs w:val="24"/>
        </w:rPr>
        <w:t xml:space="preserve">Załączniki składane w formie kserokopii muszą być potwierdzone za zgodność </w:t>
      </w:r>
      <w:r>
        <w:rPr>
          <w:rFonts w:ascii="Times New Roman" w:hAnsi="Times New Roman"/>
          <w:b w:val="0"/>
          <w:sz w:val="24"/>
          <w:szCs w:val="24"/>
        </w:rPr>
        <w:br/>
        <w:t xml:space="preserve">z oryginałem, datą potwierdzenia oraz podpisami uprawnionych osób wymienionych </w:t>
      </w:r>
      <w:r>
        <w:rPr>
          <w:rFonts w:ascii="Times New Roman" w:hAnsi="Times New Roman"/>
          <w:b w:val="0"/>
          <w:sz w:val="24"/>
          <w:szCs w:val="24"/>
        </w:rPr>
        <w:br/>
        <w:t>w KRS wraz z imiennymi pieczątkami.</w:t>
      </w:r>
    </w:p>
    <w:p w:rsidR="0055128A" w:rsidRPr="00853A30" w:rsidRDefault="0055128A" w:rsidP="004616B2">
      <w:pPr>
        <w:pStyle w:val="Title"/>
        <w:numPr>
          <w:ilvl w:val="0"/>
          <w:numId w:val="4"/>
        </w:numPr>
        <w:tabs>
          <w:tab w:val="clear" w:pos="720"/>
        </w:tabs>
        <w:ind w:left="426" w:hanging="426"/>
        <w:jc w:val="both"/>
        <w:rPr>
          <w:rFonts w:ascii="Times New Roman" w:hAnsi="Times New Roman"/>
          <w:b w:val="0"/>
          <w:bCs/>
          <w:color w:val="000000"/>
          <w:sz w:val="24"/>
          <w:szCs w:val="24"/>
        </w:rPr>
      </w:pPr>
      <w:r w:rsidRPr="00853A30">
        <w:rPr>
          <w:rFonts w:ascii="Times New Roman" w:hAnsi="Times New Roman"/>
          <w:b w:val="0"/>
          <w:sz w:val="24"/>
          <w:szCs w:val="24"/>
        </w:rPr>
        <w:t xml:space="preserve">Do sprawozdania nie załącza się oryginałów faktur (rachunków), które należy przechowywać zgodnie z obowiązującymi przepisami i udostępniać podczas przeprowadzanych czynności kontrolnych. </w:t>
      </w:r>
    </w:p>
    <w:p w:rsidR="0055128A" w:rsidRPr="002B5F31" w:rsidRDefault="0055128A" w:rsidP="004616B2">
      <w:pPr>
        <w:pStyle w:val="Title"/>
        <w:numPr>
          <w:ilvl w:val="0"/>
          <w:numId w:val="4"/>
        </w:numPr>
        <w:tabs>
          <w:tab w:val="clear" w:pos="720"/>
        </w:tabs>
        <w:ind w:left="426" w:hanging="426"/>
        <w:jc w:val="both"/>
        <w:rPr>
          <w:rFonts w:ascii="Times New Roman" w:hAnsi="Times New Roman"/>
          <w:b w:val="0"/>
          <w:bCs/>
          <w:color w:val="000000"/>
          <w:sz w:val="24"/>
          <w:szCs w:val="24"/>
        </w:rPr>
      </w:pPr>
      <w:r w:rsidRPr="00853A30">
        <w:rPr>
          <w:rFonts w:ascii="Times New Roman" w:hAnsi="Times New Roman"/>
          <w:b w:val="0"/>
          <w:sz w:val="24"/>
          <w:szCs w:val="24"/>
        </w:rPr>
        <w:t>Wszystkie oryginały faktur (rachunków) stanowiących dowód poniesionych wydatków powinny być wystawione na zleceniobiorcę oraz zawierać sporządzony w sposób trwały opis zawierający informacje: z jakich środków wydatkowana kwota została pokryta oraz jakie było przeznaczenie zakupionych towarów, usług lub inne</w:t>
      </w:r>
      <w:r>
        <w:rPr>
          <w:rFonts w:ascii="Times New Roman" w:hAnsi="Times New Roman"/>
          <w:b w:val="0"/>
          <w:sz w:val="24"/>
          <w:szCs w:val="24"/>
        </w:rPr>
        <w:t xml:space="preserve">go rodzaju opłaconej należności, akceptację wydatku pod względem merytorycznym, rachunkowym </w:t>
      </w:r>
      <w:r>
        <w:rPr>
          <w:rFonts w:ascii="Times New Roman" w:hAnsi="Times New Roman"/>
          <w:b w:val="0"/>
          <w:sz w:val="24"/>
          <w:szCs w:val="24"/>
        </w:rPr>
        <w:br/>
        <w:t>i formalnym.</w:t>
      </w:r>
      <w:r w:rsidRPr="00853A30">
        <w:rPr>
          <w:rFonts w:ascii="Times New Roman" w:hAnsi="Times New Roman"/>
          <w:b w:val="0"/>
          <w:sz w:val="24"/>
          <w:szCs w:val="24"/>
        </w:rPr>
        <w:t xml:space="preserve"> Informacja ta powinna być podpisana przez </w:t>
      </w:r>
      <w:r>
        <w:rPr>
          <w:rFonts w:ascii="Times New Roman" w:hAnsi="Times New Roman"/>
          <w:b w:val="0"/>
          <w:sz w:val="24"/>
          <w:szCs w:val="24"/>
        </w:rPr>
        <w:t>osoby uprawnione.</w:t>
      </w:r>
      <w:r w:rsidRPr="00853A30">
        <w:rPr>
          <w:rFonts w:ascii="Times New Roman" w:hAnsi="Times New Roman"/>
          <w:b w:val="0"/>
          <w:sz w:val="24"/>
          <w:szCs w:val="24"/>
        </w:rPr>
        <w:t xml:space="preserve"> </w:t>
      </w:r>
    </w:p>
    <w:p w:rsidR="0055128A" w:rsidRPr="00D9582A" w:rsidRDefault="0055128A" w:rsidP="004616B2">
      <w:pPr>
        <w:pStyle w:val="Title"/>
        <w:numPr>
          <w:ilvl w:val="0"/>
          <w:numId w:val="4"/>
        </w:numPr>
        <w:tabs>
          <w:tab w:val="clear" w:pos="720"/>
        </w:tabs>
        <w:ind w:left="426" w:hanging="426"/>
        <w:jc w:val="both"/>
        <w:rPr>
          <w:rFonts w:ascii="Times New Roman" w:hAnsi="Times New Roman"/>
          <w:b w:val="0"/>
          <w:bCs/>
          <w:color w:val="000000"/>
          <w:sz w:val="24"/>
          <w:szCs w:val="24"/>
        </w:rPr>
      </w:pPr>
      <w:r>
        <w:rPr>
          <w:rFonts w:ascii="Times New Roman" w:hAnsi="Times New Roman"/>
          <w:b w:val="0"/>
          <w:sz w:val="24"/>
          <w:szCs w:val="24"/>
        </w:rPr>
        <w:t>Od podjętych decyzji o przyznaniu dotacji przez Zarząd Województwa Świętokrzyskiego nie przysługuje odwołanie.</w:t>
      </w:r>
    </w:p>
    <w:p w:rsidR="0055128A" w:rsidRPr="00CB2A57" w:rsidRDefault="0055128A" w:rsidP="00CB2A57">
      <w:pPr>
        <w:numPr>
          <w:ilvl w:val="0"/>
          <w:numId w:val="4"/>
        </w:numPr>
        <w:tabs>
          <w:tab w:val="num" w:pos="360"/>
        </w:tabs>
        <w:ind w:left="360"/>
        <w:jc w:val="both"/>
        <w:rPr>
          <w:u w:val="single"/>
        </w:rPr>
      </w:pPr>
      <w:r w:rsidRPr="00D23573">
        <w:t>Szczegółowe informacj</w:t>
      </w:r>
      <w:r>
        <w:t xml:space="preserve">e dotyczące otwartego konkursu </w:t>
      </w:r>
      <w:r w:rsidRPr="00D23573">
        <w:t xml:space="preserve">dostępne są: </w:t>
      </w:r>
    </w:p>
    <w:p w:rsidR="0055128A" w:rsidRPr="00D23573" w:rsidRDefault="0055128A" w:rsidP="004616B2">
      <w:pPr>
        <w:pStyle w:val="Title"/>
        <w:numPr>
          <w:ilvl w:val="0"/>
          <w:numId w:val="9"/>
        </w:numPr>
        <w:ind w:left="1418"/>
        <w:jc w:val="both"/>
        <w:rPr>
          <w:rFonts w:ascii="Times New Roman" w:hAnsi="Times New Roman"/>
          <w:b w:val="0"/>
          <w:sz w:val="24"/>
          <w:szCs w:val="24"/>
        </w:rPr>
      </w:pPr>
      <w:r w:rsidRPr="00D23573">
        <w:rPr>
          <w:rFonts w:ascii="Times New Roman" w:hAnsi="Times New Roman"/>
          <w:b w:val="0"/>
          <w:sz w:val="24"/>
          <w:szCs w:val="24"/>
        </w:rPr>
        <w:t xml:space="preserve">w siedzibie Departamentu </w:t>
      </w:r>
      <w:r>
        <w:rPr>
          <w:rFonts w:ascii="Times New Roman" w:hAnsi="Times New Roman"/>
          <w:b w:val="0"/>
          <w:sz w:val="24"/>
          <w:szCs w:val="24"/>
        </w:rPr>
        <w:t xml:space="preserve">Rozwoju Obszarów Wiejskich i Środowiska, </w:t>
      </w:r>
      <w:r w:rsidRPr="00D23573">
        <w:rPr>
          <w:rFonts w:ascii="Times New Roman" w:hAnsi="Times New Roman"/>
          <w:b w:val="0"/>
          <w:sz w:val="24"/>
          <w:szCs w:val="24"/>
        </w:rPr>
        <w:t>Al. IX Wieków Kielc 3, 25-516 Kielce</w:t>
      </w:r>
      <w:r>
        <w:rPr>
          <w:rFonts w:ascii="Times New Roman" w:hAnsi="Times New Roman"/>
          <w:b w:val="0"/>
          <w:sz w:val="24"/>
          <w:szCs w:val="24"/>
        </w:rPr>
        <w:t>, pok. 325</w:t>
      </w:r>
      <w:r w:rsidRPr="00D23573">
        <w:rPr>
          <w:rFonts w:ascii="Times New Roman" w:hAnsi="Times New Roman"/>
          <w:b w:val="0"/>
          <w:sz w:val="24"/>
          <w:szCs w:val="24"/>
        </w:rPr>
        <w:t>, I</w:t>
      </w:r>
      <w:r>
        <w:rPr>
          <w:rFonts w:ascii="Times New Roman" w:hAnsi="Times New Roman"/>
          <w:b w:val="0"/>
          <w:sz w:val="24"/>
          <w:szCs w:val="24"/>
        </w:rPr>
        <w:t>II</w:t>
      </w:r>
      <w:r w:rsidRPr="00D23573">
        <w:rPr>
          <w:rFonts w:ascii="Times New Roman" w:hAnsi="Times New Roman"/>
          <w:b w:val="0"/>
          <w:sz w:val="24"/>
          <w:szCs w:val="24"/>
        </w:rPr>
        <w:t xml:space="preserve"> piętro, </w:t>
      </w:r>
    </w:p>
    <w:p w:rsidR="0055128A" w:rsidRPr="00D23573" w:rsidRDefault="0055128A" w:rsidP="004616B2">
      <w:pPr>
        <w:pStyle w:val="Title"/>
        <w:numPr>
          <w:ilvl w:val="0"/>
          <w:numId w:val="9"/>
        </w:numPr>
        <w:ind w:left="1418"/>
        <w:jc w:val="both"/>
        <w:rPr>
          <w:rFonts w:ascii="Times New Roman" w:hAnsi="Times New Roman"/>
          <w:b w:val="0"/>
          <w:sz w:val="24"/>
          <w:szCs w:val="24"/>
        </w:rPr>
      </w:pPr>
      <w:r w:rsidRPr="00D23573">
        <w:rPr>
          <w:rFonts w:ascii="Times New Roman" w:hAnsi="Times New Roman"/>
          <w:b w:val="0"/>
          <w:sz w:val="24"/>
          <w:szCs w:val="24"/>
        </w:rPr>
        <w:t xml:space="preserve">na stronie głównej </w:t>
      </w:r>
      <w:hyperlink r:id="rId5" w:history="1">
        <w:r w:rsidRPr="00D23573">
          <w:rPr>
            <w:rStyle w:val="Hyperlink"/>
            <w:rFonts w:ascii="Times New Roman" w:hAnsi="Times New Roman"/>
            <w:b w:val="0"/>
            <w:sz w:val="24"/>
            <w:szCs w:val="24"/>
          </w:rPr>
          <w:t>www.sejmik.kielce.pl</w:t>
        </w:r>
      </w:hyperlink>
      <w:r w:rsidRPr="00D23573">
        <w:rPr>
          <w:rFonts w:ascii="Times New Roman" w:hAnsi="Times New Roman"/>
          <w:b w:val="0"/>
          <w:sz w:val="24"/>
          <w:szCs w:val="24"/>
        </w:rPr>
        <w:t xml:space="preserve"> w zakładce „Konkursy”,</w:t>
      </w:r>
    </w:p>
    <w:p w:rsidR="0055128A" w:rsidRDefault="0055128A" w:rsidP="002B5F31">
      <w:pPr>
        <w:pStyle w:val="Title"/>
        <w:numPr>
          <w:ilvl w:val="0"/>
          <w:numId w:val="9"/>
        </w:numPr>
        <w:ind w:left="1418"/>
        <w:jc w:val="both"/>
        <w:rPr>
          <w:rFonts w:ascii="Times New Roman" w:hAnsi="Times New Roman"/>
          <w:b w:val="0"/>
          <w:sz w:val="24"/>
          <w:szCs w:val="24"/>
        </w:rPr>
      </w:pPr>
      <w:r w:rsidRPr="00D23573">
        <w:rPr>
          <w:rFonts w:ascii="Times New Roman" w:hAnsi="Times New Roman"/>
          <w:b w:val="0"/>
          <w:sz w:val="24"/>
          <w:szCs w:val="24"/>
        </w:rPr>
        <w:t xml:space="preserve">na stronie </w:t>
      </w:r>
      <w:hyperlink r:id="rId6" w:history="1">
        <w:r w:rsidRPr="00D23573">
          <w:rPr>
            <w:rStyle w:val="Hyperlink"/>
            <w:rFonts w:ascii="Times New Roman" w:hAnsi="Times New Roman"/>
            <w:b w:val="0"/>
            <w:sz w:val="24"/>
            <w:szCs w:val="24"/>
          </w:rPr>
          <w:t>www.sejmik.kielce.pl</w:t>
        </w:r>
      </w:hyperlink>
      <w:r w:rsidRPr="00D23573">
        <w:rPr>
          <w:rFonts w:ascii="Times New Roman" w:hAnsi="Times New Roman"/>
          <w:b w:val="0"/>
          <w:sz w:val="24"/>
          <w:szCs w:val="24"/>
        </w:rPr>
        <w:t xml:space="preserve"> w Biuletynie Informacji Publicznej, zakładka „Załatwianie spraw/w zakresie </w:t>
      </w:r>
      <w:r w:rsidRPr="00DA3254">
        <w:rPr>
          <w:rFonts w:ascii="Times New Roman" w:hAnsi="Times New Roman"/>
          <w:b w:val="0"/>
          <w:sz w:val="24"/>
          <w:szCs w:val="24"/>
        </w:rPr>
        <w:t>rozwoju obszarów wiejskich i</w:t>
      </w:r>
      <w:r>
        <w:rPr>
          <w:rFonts w:ascii="Times New Roman" w:hAnsi="Times New Roman"/>
          <w:b w:val="0"/>
          <w:sz w:val="24"/>
          <w:szCs w:val="24"/>
        </w:rPr>
        <w:t xml:space="preserve"> </w:t>
      </w:r>
      <w:r w:rsidRPr="00DA3254">
        <w:rPr>
          <w:rFonts w:ascii="Times New Roman" w:hAnsi="Times New Roman"/>
          <w:b w:val="0"/>
          <w:sz w:val="24"/>
          <w:szCs w:val="24"/>
        </w:rPr>
        <w:t>środowiska”.</w:t>
      </w:r>
    </w:p>
    <w:p w:rsidR="0055128A" w:rsidRPr="00CB2A57" w:rsidRDefault="0055128A" w:rsidP="0067341F">
      <w:pPr>
        <w:pStyle w:val="Title"/>
        <w:numPr>
          <w:ilvl w:val="0"/>
          <w:numId w:val="4"/>
        </w:numPr>
        <w:tabs>
          <w:tab w:val="clear" w:pos="720"/>
          <w:tab w:val="num" w:pos="426"/>
        </w:tabs>
        <w:ind w:left="426" w:hanging="426"/>
        <w:jc w:val="both"/>
        <w:rPr>
          <w:rFonts w:ascii="Times New Roman" w:hAnsi="Times New Roman"/>
          <w:b w:val="0"/>
          <w:sz w:val="24"/>
          <w:szCs w:val="24"/>
        </w:rPr>
      </w:pPr>
      <w:r w:rsidRPr="00CB2A57">
        <w:rPr>
          <w:rFonts w:ascii="Times New Roman" w:hAnsi="Times New Roman"/>
          <w:b w:val="0"/>
          <w:sz w:val="24"/>
          <w:szCs w:val="24"/>
        </w:rPr>
        <w:t xml:space="preserve">Wyniki konkursu zostaną zamieszczone na stronie internetowej Urzędu Marszałkowskiego Województwa Świętokrzyskiego – </w:t>
      </w:r>
      <w:hyperlink r:id="rId7" w:history="1">
        <w:r w:rsidRPr="00CB2A57">
          <w:rPr>
            <w:rStyle w:val="Hyperlink"/>
            <w:rFonts w:ascii="Times New Roman" w:hAnsi="Times New Roman"/>
            <w:b w:val="0"/>
            <w:sz w:val="24"/>
            <w:szCs w:val="24"/>
          </w:rPr>
          <w:t>www.sejmik.kielce.pl</w:t>
        </w:r>
      </w:hyperlink>
      <w:r w:rsidRPr="00CB2A57">
        <w:rPr>
          <w:rFonts w:ascii="Times New Roman" w:hAnsi="Times New Roman"/>
          <w:b w:val="0"/>
          <w:sz w:val="24"/>
          <w:szCs w:val="24"/>
        </w:rPr>
        <w:t xml:space="preserve"> – </w:t>
      </w:r>
      <w:r w:rsidRPr="00CB2A57">
        <w:rPr>
          <w:rFonts w:ascii="Times New Roman" w:hAnsi="Times New Roman"/>
          <w:b w:val="0"/>
          <w:sz w:val="24"/>
          <w:szCs w:val="24"/>
        </w:rPr>
        <w:br/>
        <w:t>w zakładce „Konkursy”, w Biuletynie Informacji Publicznej oraz na tablicy ogłoszeń Urzędu.</w:t>
      </w:r>
    </w:p>
    <w:p w:rsidR="0055128A" w:rsidRPr="00D23573" w:rsidRDefault="0055128A" w:rsidP="004616B2"/>
    <w:p w:rsidR="0055128A" w:rsidRDefault="0055128A" w:rsidP="00D26B64">
      <w:pPr>
        <w:jc w:val="both"/>
      </w:pPr>
      <w:r w:rsidRPr="00D23573">
        <w:t xml:space="preserve">Informacji telefonicznych udziela Oddział </w:t>
      </w:r>
      <w:r>
        <w:t>Kształtowania Środowiska</w:t>
      </w:r>
      <w:r w:rsidRPr="00D23573">
        <w:t xml:space="preserve"> Urzędu </w:t>
      </w:r>
      <w:r>
        <w:t>M</w:t>
      </w:r>
      <w:r w:rsidRPr="00D23573">
        <w:t xml:space="preserve">arszałkowskiego Województwa Świętokrzyskiego, </w:t>
      </w:r>
      <w:r>
        <w:t>tel. 41/342-</w:t>
      </w:r>
      <w:r w:rsidRPr="002B5F31">
        <w:t>1</w:t>
      </w:r>
      <w:r>
        <w:t>2-</w:t>
      </w:r>
      <w:r w:rsidRPr="002B5F31">
        <w:t>4</w:t>
      </w:r>
      <w:r>
        <w:t>0</w:t>
      </w:r>
    </w:p>
    <w:sectPr w:rsidR="0055128A" w:rsidSect="00FC2E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D26"/>
    <w:multiLevelType w:val="hybridMultilevel"/>
    <w:tmpl w:val="C876150C"/>
    <w:lvl w:ilvl="0" w:tplc="C366AF78">
      <w:start w:val="1"/>
      <w:numFmt w:val="lowerLetter"/>
      <w:lvlText w:val="%1)"/>
      <w:lvlJc w:val="right"/>
      <w:pPr>
        <w:tabs>
          <w:tab w:val="num" w:pos="2160"/>
        </w:tabs>
        <w:ind w:left="2160" w:hanging="180"/>
      </w:pPr>
      <w:rPr>
        <w:rFonts w:ascii="Times New Roman" w:hAnsi="Times New Roman" w:cs="Times New Roman" w:hint="default"/>
        <w:sz w:val="24"/>
        <w:szCs w:val="24"/>
      </w:rPr>
    </w:lvl>
    <w:lvl w:ilvl="1" w:tplc="0DB07DB0">
      <w:start w:val="8"/>
      <w:numFmt w:val="decimal"/>
      <w:lvlText w:val="%2."/>
      <w:lvlJc w:val="left"/>
      <w:pPr>
        <w:tabs>
          <w:tab w:val="num" w:pos="900"/>
        </w:tabs>
        <w:ind w:left="900" w:hanging="360"/>
      </w:pPr>
      <w:rPr>
        <w:rFonts w:cs="Times New Roman" w:hint="default"/>
        <w:color w:val="auto"/>
        <w:sz w:val="22"/>
      </w:rPr>
    </w:lvl>
    <w:lvl w:ilvl="2" w:tplc="1860887C">
      <w:start w:val="4"/>
      <w:numFmt w:val="upperRoman"/>
      <w:lvlText w:val="%3."/>
      <w:lvlJc w:val="left"/>
      <w:pPr>
        <w:tabs>
          <w:tab w:val="num" w:pos="2434"/>
        </w:tabs>
        <w:ind w:left="2434" w:hanging="454"/>
      </w:pPr>
      <w:rPr>
        <w:rFonts w:ascii="Arial" w:hAnsi="Arial" w:cs="Times New Roman" w:hint="default"/>
        <w:b/>
        <w:i w:val="0"/>
        <w:sz w:val="22"/>
      </w:rPr>
    </w:lvl>
    <w:lvl w:ilvl="3" w:tplc="0812093E">
      <w:start w:val="4"/>
      <w:numFmt w:val="decimal"/>
      <w:lvlText w:val="%4."/>
      <w:lvlJc w:val="left"/>
      <w:pPr>
        <w:tabs>
          <w:tab w:val="num" w:pos="3070"/>
        </w:tabs>
        <w:ind w:left="3070" w:hanging="550"/>
      </w:pPr>
      <w:rPr>
        <w:rFonts w:cs="Times New Roman" w:hint="default"/>
        <w:sz w:val="22"/>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1E7C36D4"/>
    <w:multiLevelType w:val="hybridMultilevel"/>
    <w:tmpl w:val="36EE9F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238A177B"/>
    <w:multiLevelType w:val="hybridMultilevel"/>
    <w:tmpl w:val="DB2264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38705122"/>
    <w:multiLevelType w:val="hybridMultilevel"/>
    <w:tmpl w:val="8060756C"/>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3ABC0820"/>
    <w:multiLevelType w:val="hybridMultilevel"/>
    <w:tmpl w:val="B3B0DD42"/>
    <w:lvl w:ilvl="0" w:tplc="C2D61956">
      <w:start w:val="1"/>
      <w:numFmt w:val="decimal"/>
      <w:lvlText w:val="%1."/>
      <w:lvlJc w:val="left"/>
      <w:pPr>
        <w:tabs>
          <w:tab w:val="num" w:pos="2340"/>
        </w:tabs>
        <w:ind w:left="2340" w:hanging="360"/>
      </w:pPr>
      <w:rPr>
        <w:rFonts w:ascii="Arial" w:hAnsi="Arial" w:cs="Times New Roman" w:hint="default"/>
        <w:sz w:val="22"/>
      </w:rPr>
    </w:lvl>
    <w:lvl w:ilvl="1" w:tplc="B6BE0A70">
      <w:start w:val="1"/>
      <w:numFmt w:val="lowerLetter"/>
      <w:lvlText w:val="%2)"/>
      <w:lvlJc w:val="right"/>
      <w:pPr>
        <w:tabs>
          <w:tab w:val="num" w:pos="1260"/>
        </w:tabs>
        <w:ind w:left="1260" w:hanging="180"/>
      </w:pPr>
      <w:rPr>
        <w:rFonts w:ascii="Times New Roman" w:hAnsi="Times New Roman" w:cs="Times New Roman" w:hint="default"/>
        <w:sz w:val="24"/>
        <w:szCs w:val="24"/>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3EC0086D"/>
    <w:multiLevelType w:val="hybridMultilevel"/>
    <w:tmpl w:val="8E5CE1B4"/>
    <w:lvl w:ilvl="0" w:tplc="6186CEBA">
      <w:start w:val="1"/>
      <w:numFmt w:val="decimal"/>
      <w:lvlText w:val="%1."/>
      <w:lvlJc w:val="left"/>
      <w:pPr>
        <w:tabs>
          <w:tab w:val="num" w:pos="720"/>
        </w:tabs>
        <w:ind w:left="720" w:hanging="360"/>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4CF3392A"/>
    <w:multiLevelType w:val="hybridMultilevel"/>
    <w:tmpl w:val="D8F84B44"/>
    <w:lvl w:ilvl="0" w:tplc="04150017">
      <w:start w:val="1"/>
      <w:numFmt w:val="lowerLetter"/>
      <w:lvlText w:val="%1)"/>
      <w:lvlJc w:val="left"/>
      <w:pPr>
        <w:tabs>
          <w:tab w:val="num" w:pos="720"/>
        </w:tabs>
        <w:ind w:left="720" w:hanging="360"/>
      </w:pPr>
      <w:rPr>
        <w:rFonts w:cs="Times New Roman" w:hint="default"/>
      </w:rPr>
    </w:lvl>
    <w:lvl w:ilvl="1" w:tplc="FA4E10DA">
      <w:start w:val="1"/>
      <w:numFmt w:val="lowerLetter"/>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4CF93DD0"/>
    <w:multiLevelType w:val="hybridMultilevel"/>
    <w:tmpl w:val="45CE507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61F2470C"/>
    <w:multiLevelType w:val="hybridMultilevel"/>
    <w:tmpl w:val="067AF8CE"/>
    <w:lvl w:ilvl="0" w:tplc="C1C08C38">
      <w:start w:val="1"/>
      <w:numFmt w:val="lowerLetter"/>
      <w:lvlText w:val="%1)"/>
      <w:lvlJc w:val="left"/>
      <w:pPr>
        <w:tabs>
          <w:tab w:val="num" w:pos="1440"/>
        </w:tabs>
        <w:ind w:left="1440" w:hanging="360"/>
      </w:pPr>
      <w:rPr>
        <w:rFonts w:ascii="Times New Roman" w:eastAsia="Times New Roman" w:hAnsi="Times New Roman" w:cs="Times New Roman"/>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2360E45"/>
    <w:multiLevelType w:val="hybridMultilevel"/>
    <w:tmpl w:val="2B8623F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77F67870"/>
    <w:multiLevelType w:val="multilevel"/>
    <w:tmpl w:val="3CF8738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b w:val="0"/>
        <w:i w:val="0"/>
        <w:caps w:val="0"/>
        <w:shadow w:val="0"/>
        <w:emboss w:val="0"/>
        <w:imprint w:val="0"/>
        <w:vanish w:val="0"/>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8"/>
  </w:num>
  <w:num w:numId="9">
    <w:abstractNumId w:val="1"/>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6B2"/>
    <w:rsid w:val="00001390"/>
    <w:rsid w:val="0000555A"/>
    <w:rsid w:val="0002145F"/>
    <w:rsid w:val="00037937"/>
    <w:rsid w:val="00050DED"/>
    <w:rsid w:val="00061414"/>
    <w:rsid w:val="00071F14"/>
    <w:rsid w:val="000F2428"/>
    <w:rsid w:val="001045BF"/>
    <w:rsid w:val="0010762A"/>
    <w:rsid w:val="00111D5C"/>
    <w:rsid w:val="001260E7"/>
    <w:rsid w:val="0013251F"/>
    <w:rsid w:val="00137838"/>
    <w:rsid w:val="00181780"/>
    <w:rsid w:val="0018438F"/>
    <w:rsid w:val="00187858"/>
    <w:rsid w:val="001E0C81"/>
    <w:rsid w:val="00203D79"/>
    <w:rsid w:val="00220B4E"/>
    <w:rsid w:val="002244D4"/>
    <w:rsid w:val="002300F4"/>
    <w:rsid w:val="002711C5"/>
    <w:rsid w:val="002B5F31"/>
    <w:rsid w:val="002B6850"/>
    <w:rsid w:val="002E6C7A"/>
    <w:rsid w:val="00322A6F"/>
    <w:rsid w:val="00346144"/>
    <w:rsid w:val="00357353"/>
    <w:rsid w:val="003805E1"/>
    <w:rsid w:val="00390CF1"/>
    <w:rsid w:val="003936B2"/>
    <w:rsid w:val="003A0AAD"/>
    <w:rsid w:val="003A161D"/>
    <w:rsid w:val="003A4622"/>
    <w:rsid w:val="003A4E3B"/>
    <w:rsid w:val="003A7A5C"/>
    <w:rsid w:val="003B5B8B"/>
    <w:rsid w:val="003B6019"/>
    <w:rsid w:val="003C6BF2"/>
    <w:rsid w:val="003E135C"/>
    <w:rsid w:val="003E5F6A"/>
    <w:rsid w:val="00425008"/>
    <w:rsid w:val="004616B2"/>
    <w:rsid w:val="004C34B4"/>
    <w:rsid w:val="004D2C48"/>
    <w:rsid w:val="004D459D"/>
    <w:rsid w:val="004E1914"/>
    <w:rsid w:val="004E231F"/>
    <w:rsid w:val="004E47F0"/>
    <w:rsid w:val="004F10F2"/>
    <w:rsid w:val="004F436C"/>
    <w:rsid w:val="00540ACD"/>
    <w:rsid w:val="0055128A"/>
    <w:rsid w:val="00563114"/>
    <w:rsid w:val="005676B8"/>
    <w:rsid w:val="00573F6D"/>
    <w:rsid w:val="005814FE"/>
    <w:rsid w:val="00592590"/>
    <w:rsid w:val="005B3005"/>
    <w:rsid w:val="005B6C4A"/>
    <w:rsid w:val="005C474A"/>
    <w:rsid w:val="00603F0C"/>
    <w:rsid w:val="00615672"/>
    <w:rsid w:val="00622978"/>
    <w:rsid w:val="00642394"/>
    <w:rsid w:val="00645379"/>
    <w:rsid w:val="0066211D"/>
    <w:rsid w:val="00665052"/>
    <w:rsid w:val="0067341F"/>
    <w:rsid w:val="00674140"/>
    <w:rsid w:val="00675153"/>
    <w:rsid w:val="00675391"/>
    <w:rsid w:val="00690D57"/>
    <w:rsid w:val="0069568C"/>
    <w:rsid w:val="006978C1"/>
    <w:rsid w:val="006A72B4"/>
    <w:rsid w:val="006C372B"/>
    <w:rsid w:val="006E2863"/>
    <w:rsid w:val="006F4459"/>
    <w:rsid w:val="00707036"/>
    <w:rsid w:val="00720121"/>
    <w:rsid w:val="00731604"/>
    <w:rsid w:val="00740098"/>
    <w:rsid w:val="00764E18"/>
    <w:rsid w:val="00791102"/>
    <w:rsid w:val="00796037"/>
    <w:rsid w:val="007B6E55"/>
    <w:rsid w:val="007C0EFB"/>
    <w:rsid w:val="007E0135"/>
    <w:rsid w:val="00853A30"/>
    <w:rsid w:val="00862955"/>
    <w:rsid w:val="00864BE0"/>
    <w:rsid w:val="0086727E"/>
    <w:rsid w:val="00872404"/>
    <w:rsid w:val="00892F29"/>
    <w:rsid w:val="008A7908"/>
    <w:rsid w:val="008C08ED"/>
    <w:rsid w:val="008C7EAA"/>
    <w:rsid w:val="008D007F"/>
    <w:rsid w:val="008E29B7"/>
    <w:rsid w:val="008F5546"/>
    <w:rsid w:val="00905D4D"/>
    <w:rsid w:val="009140B7"/>
    <w:rsid w:val="00922482"/>
    <w:rsid w:val="00924372"/>
    <w:rsid w:val="00926400"/>
    <w:rsid w:val="00940B80"/>
    <w:rsid w:val="00950B44"/>
    <w:rsid w:val="00965997"/>
    <w:rsid w:val="009753AF"/>
    <w:rsid w:val="00982061"/>
    <w:rsid w:val="00993432"/>
    <w:rsid w:val="009D3D4F"/>
    <w:rsid w:val="009D6EA5"/>
    <w:rsid w:val="00A02F61"/>
    <w:rsid w:val="00A05769"/>
    <w:rsid w:val="00A47739"/>
    <w:rsid w:val="00A54D4E"/>
    <w:rsid w:val="00A84EDA"/>
    <w:rsid w:val="00AA3833"/>
    <w:rsid w:val="00AD26F3"/>
    <w:rsid w:val="00AF638C"/>
    <w:rsid w:val="00B005E5"/>
    <w:rsid w:val="00B031C3"/>
    <w:rsid w:val="00B10CD1"/>
    <w:rsid w:val="00B22D82"/>
    <w:rsid w:val="00B36937"/>
    <w:rsid w:val="00B609D0"/>
    <w:rsid w:val="00B7682D"/>
    <w:rsid w:val="00B927D4"/>
    <w:rsid w:val="00BC7800"/>
    <w:rsid w:val="00BE487D"/>
    <w:rsid w:val="00C028A1"/>
    <w:rsid w:val="00C153E4"/>
    <w:rsid w:val="00C269B7"/>
    <w:rsid w:val="00C809B1"/>
    <w:rsid w:val="00C87AE6"/>
    <w:rsid w:val="00CA3563"/>
    <w:rsid w:val="00CA7BA1"/>
    <w:rsid w:val="00CB2A24"/>
    <w:rsid w:val="00CB2A57"/>
    <w:rsid w:val="00CD2521"/>
    <w:rsid w:val="00CD41CD"/>
    <w:rsid w:val="00CD6219"/>
    <w:rsid w:val="00CF30F3"/>
    <w:rsid w:val="00D0656E"/>
    <w:rsid w:val="00D23573"/>
    <w:rsid w:val="00D24069"/>
    <w:rsid w:val="00D26B64"/>
    <w:rsid w:val="00D27C41"/>
    <w:rsid w:val="00D4254C"/>
    <w:rsid w:val="00D4282F"/>
    <w:rsid w:val="00D50ED8"/>
    <w:rsid w:val="00D76F2A"/>
    <w:rsid w:val="00D81F50"/>
    <w:rsid w:val="00D9582A"/>
    <w:rsid w:val="00DA050B"/>
    <w:rsid w:val="00DA3254"/>
    <w:rsid w:val="00DB0E92"/>
    <w:rsid w:val="00DD2314"/>
    <w:rsid w:val="00DE694A"/>
    <w:rsid w:val="00E121D8"/>
    <w:rsid w:val="00E922DB"/>
    <w:rsid w:val="00EA5B38"/>
    <w:rsid w:val="00EB5BFC"/>
    <w:rsid w:val="00EC0135"/>
    <w:rsid w:val="00EC1804"/>
    <w:rsid w:val="00ED0059"/>
    <w:rsid w:val="00EE03E0"/>
    <w:rsid w:val="00EF15AC"/>
    <w:rsid w:val="00EF24DB"/>
    <w:rsid w:val="00F21E6D"/>
    <w:rsid w:val="00F33BF8"/>
    <w:rsid w:val="00F6029F"/>
    <w:rsid w:val="00F66B8D"/>
    <w:rsid w:val="00F73317"/>
    <w:rsid w:val="00F8618D"/>
    <w:rsid w:val="00F95D77"/>
    <w:rsid w:val="00FA72FF"/>
    <w:rsid w:val="00FC2EC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B2"/>
    <w:rPr>
      <w:rFonts w:ascii="Times New Roman" w:eastAsia="Times New Roman" w:hAnsi="Times New Roman"/>
      <w:sz w:val="24"/>
      <w:szCs w:val="24"/>
    </w:rPr>
  </w:style>
  <w:style w:type="paragraph" w:styleId="Heading3">
    <w:name w:val="heading 3"/>
    <w:basedOn w:val="Normal"/>
    <w:next w:val="Normal"/>
    <w:link w:val="Heading3Char"/>
    <w:uiPriority w:val="99"/>
    <w:qFormat/>
    <w:rsid w:val="004616B2"/>
    <w:pPr>
      <w:keepNext/>
      <w:outlineLvl w:val="2"/>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4616B2"/>
    <w:rPr>
      <w:rFonts w:ascii="Times New Roman" w:hAnsi="Times New Roman" w:cs="Times New Roman"/>
      <w:sz w:val="20"/>
      <w:szCs w:val="20"/>
      <w:lang w:eastAsia="pl-PL"/>
    </w:rPr>
  </w:style>
  <w:style w:type="character" w:styleId="Hyperlink">
    <w:name w:val="Hyperlink"/>
    <w:basedOn w:val="DefaultParagraphFont"/>
    <w:uiPriority w:val="99"/>
    <w:rsid w:val="004616B2"/>
    <w:rPr>
      <w:rFonts w:cs="Times New Roman"/>
      <w:color w:val="0000FF"/>
      <w:u w:val="single"/>
    </w:rPr>
  </w:style>
  <w:style w:type="paragraph" w:styleId="NormalWeb">
    <w:name w:val="Normal (Web)"/>
    <w:basedOn w:val="Normal"/>
    <w:uiPriority w:val="99"/>
    <w:rsid w:val="004616B2"/>
  </w:style>
  <w:style w:type="paragraph" w:styleId="Title">
    <w:name w:val="Title"/>
    <w:basedOn w:val="Normal"/>
    <w:link w:val="TitleChar"/>
    <w:uiPriority w:val="99"/>
    <w:qFormat/>
    <w:rsid w:val="004616B2"/>
    <w:pPr>
      <w:jc w:val="center"/>
    </w:pPr>
    <w:rPr>
      <w:rFonts w:ascii="Arial" w:hAnsi="Arial"/>
      <w:b/>
      <w:sz w:val="40"/>
      <w:szCs w:val="20"/>
    </w:rPr>
  </w:style>
  <w:style w:type="character" w:customStyle="1" w:styleId="TitleChar">
    <w:name w:val="Title Char"/>
    <w:basedOn w:val="DefaultParagraphFont"/>
    <w:link w:val="Title"/>
    <w:uiPriority w:val="99"/>
    <w:locked/>
    <w:rsid w:val="004616B2"/>
    <w:rPr>
      <w:rFonts w:ascii="Arial" w:hAnsi="Arial" w:cs="Times New Roman"/>
      <w:b/>
      <w:sz w:val="20"/>
      <w:szCs w:val="20"/>
      <w:lang w:eastAsia="pl-PL"/>
    </w:rPr>
  </w:style>
  <w:style w:type="paragraph" w:styleId="BodyText">
    <w:name w:val="Body Text"/>
    <w:basedOn w:val="Normal"/>
    <w:link w:val="BodyTextChar"/>
    <w:uiPriority w:val="99"/>
    <w:rsid w:val="004616B2"/>
    <w:rPr>
      <w:sz w:val="28"/>
    </w:rPr>
  </w:style>
  <w:style w:type="character" w:customStyle="1" w:styleId="BodyTextChar">
    <w:name w:val="Body Text Char"/>
    <w:basedOn w:val="DefaultParagraphFont"/>
    <w:link w:val="BodyText"/>
    <w:uiPriority w:val="99"/>
    <w:locked/>
    <w:rsid w:val="004616B2"/>
    <w:rPr>
      <w:rFonts w:ascii="Times New Roman" w:hAnsi="Times New Roman" w:cs="Times New Roman"/>
      <w:sz w:val="24"/>
      <w:szCs w:val="24"/>
      <w:lang w:eastAsia="pl-PL"/>
    </w:rPr>
  </w:style>
  <w:style w:type="paragraph" w:styleId="BodyText2">
    <w:name w:val="Body Text 2"/>
    <w:basedOn w:val="Normal"/>
    <w:link w:val="BodyText2Char"/>
    <w:uiPriority w:val="99"/>
    <w:semiHidden/>
    <w:rsid w:val="004616B2"/>
    <w:pPr>
      <w:jc w:val="center"/>
    </w:pPr>
    <w:rPr>
      <w:b/>
      <w:bCs/>
      <w:sz w:val="32"/>
    </w:rPr>
  </w:style>
  <w:style w:type="character" w:customStyle="1" w:styleId="BodyText2Char">
    <w:name w:val="Body Text 2 Char"/>
    <w:basedOn w:val="DefaultParagraphFont"/>
    <w:link w:val="BodyText2"/>
    <w:uiPriority w:val="99"/>
    <w:semiHidden/>
    <w:locked/>
    <w:rsid w:val="004616B2"/>
    <w:rPr>
      <w:rFonts w:ascii="Times New Roman" w:hAnsi="Times New Roman" w:cs="Times New Roman"/>
      <w:b/>
      <w:bCs/>
      <w:sz w:val="24"/>
      <w:szCs w:val="24"/>
      <w:lang w:eastAsia="pl-PL"/>
    </w:rPr>
  </w:style>
  <w:style w:type="paragraph" w:styleId="ListParagraph">
    <w:name w:val="List Paragraph"/>
    <w:basedOn w:val="Normal"/>
    <w:uiPriority w:val="99"/>
    <w:qFormat/>
    <w:rsid w:val="004616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jmi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jmik.kielce.pl" TargetMode="External"/><Relationship Id="rId5" Type="http://schemas.openxmlformats.org/officeDocument/2006/relationships/hyperlink" Target="http://www.sejmik.kielc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2131</Words>
  <Characters>12787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184/15</dc:title>
  <dc:subject/>
  <dc:creator> </dc:creator>
  <cp:keywords/>
  <dc:description/>
  <cp:lastModifiedBy>agapek</cp:lastModifiedBy>
  <cp:revision>2</cp:revision>
  <cp:lastPrinted>2012-03-02T09:37:00Z</cp:lastPrinted>
  <dcterms:created xsi:type="dcterms:W3CDTF">2015-02-06T09:06:00Z</dcterms:created>
  <dcterms:modified xsi:type="dcterms:W3CDTF">2015-02-06T09:06:00Z</dcterms:modified>
</cp:coreProperties>
</file>