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6CA" w:rsidRDefault="003F06CA" w:rsidP="003F06CA">
      <w:pPr>
        <w:spacing w:line="360" w:lineRule="auto"/>
        <w:contextualSpacing/>
        <w:jc w:val="center"/>
        <w:rPr>
          <w:b/>
        </w:rPr>
      </w:pPr>
      <w:r w:rsidRPr="00A65235">
        <w:rPr>
          <w:b/>
        </w:rPr>
        <w:t>Propozycja legislacyjna</w:t>
      </w:r>
    </w:p>
    <w:p w:rsidR="003F06CA" w:rsidRDefault="003F06CA" w:rsidP="003F06CA">
      <w:pPr>
        <w:spacing w:line="360" w:lineRule="auto"/>
        <w:contextualSpacing/>
        <w:jc w:val="center"/>
        <w:rPr>
          <w:b/>
        </w:rPr>
      </w:pPr>
      <w:r w:rsidRPr="00A65235">
        <w:rPr>
          <w:b/>
        </w:rPr>
        <w:t xml:space="preserve">Wojewódzkiej Rady Dialogu Społecznego </w:t>
      </w:r>
      <w:r w:rsidR="00624722">
        <w:rPr>
          <w:b/>
        </w:rPr>
        <w:t>w Kielcach</w:t>
      </w:r>
      <w:bookmarkStart w:id="0" w:name="_GoBack"/>
      <w:bookmarkEnd w:id="0"/>
    </w:p>
    <w:p w:rsidR="003F06CA" w:rsidRDefault="003F06CA" w:rsidP="003F06CA">
      <w:pPr>
        <w:spacing w:line="360" w:lineRule="auto"/>
        <w:contextualSpacing/>
        <w:jc w:val="center"/>
        <w:rPr>
          <w:b/>
        </w:rPr>
      </w:pPr>
      <w:r w:rsidRPr="00A65235">
        <w:rPr>
          <w:b/>
        </w:rPr>
        <w:t>w zakresie</w:t>
      </w:r>
      <w:r>
        <w:rPr>
          <w:b/>
        </w:rPr>
        <w:t>:</w:t>
      </w:r>
    </w:p>
    <w:p w:rsidR="003F06CA" w:rsidRDefault="003F06CA" w:rsidP="003F06CA">
      <w:pPr>
        <w:spacing w:line="360" w:lineRule="auto"/>
        <w:contextualSpacing/>
        <w:jc w:val="both"/>
        <w:rPr>
          <w:b/>
        </w:rPr>
      </w:pPr>
    </w:p>
    <w:p w:rsidR="00F0188F" w:rsidRPr="00F0188F" w:rsidRDefault="00F0188F" w:rsidP="00F0188F">
      <w:pPr>
        <w:spacing w:line="360" w:lineRule="auto"/>
        <w:contextualSpacing/>
        <w:jc w:val="both"/>
        <w:rPr>
          <w:b/>
        </w:rPr>
      </w:pPr>
      <w:r w:rsidRPr="00F0188F">
        <w:rPr>
          <w:b/>
        </w:rPr>
        <w:t xml:space="preserve">ulgi dla odbiorców przemysłowych od obowiązków </w:t>
      </w:r>
      <w:r w:rsidR="00FB5CB0">
        <w:rPr>
          <w:b/>
        </w:rPr>
        <w:t>związanych ze wsparciem</w:t>
      </w:r>
      <w:r w:rsidRPr="00F0188F">
        <w:rPr>
          <w:b/>
        </w:rPr>
        <w:t xml:space="preserve"> wysokosprawnej kogeneracji</w:t>
      </w:r>
      <w:r w:rsidR="0037785A">
        <w:rPr>
          <w:b/>
        </w:rPr>
        <w:t>.</w:t>
      </w:r>
    </w:p>
    <w:p w:rsidR="00F0188F" w:rsidRPr="00F0188F" w:rsidRDefault="00F0188F" w:rsidP="00F0188F">
      <w:pPr>
        <w:spacing w:line="360" w:lineRule="auto"/>
        <w:contextualSpacing/>
        <w:jc w:val="both"/>
      </w:pPr>
    </w:p>
    <w:p w:rsidR="00A7123B" w:rsidRDefault="00A7123B" w:rsidP="00F0188F">
      <w:pPr>
        <w:spacing w:line="360" w:lineRule="auto"/>
        <w:contextualSpacing/>
        <w:rPr>
          <w:b/>
        </w:rPr>
      </w:pPr>
      <w:r>
        <w:rPr>
          <w:b/>
        </w:rPr>
        <w:t xml:space="preserve">1. Obecne brzmienie </w:t>
      </w:r>
      <w:r w:rsidRPr="0037785A">
        <w:rPr>
          <w:b/>
        </w:rPr>
        <w:t>przepisów</w:t>
      </w:r>
      <w:r w:rsidR="0037785A" w:rsidRPr="0037785A">
        <w:rPr>
          <w:b/>
        </w:rPr>
        <w:t xml:space="preserve"> ustawy z dnia 10 kwietnia 1997 r. Prawo energetyczne</w:t>
      </w:r>
      <w:r w:rsidRPr="0037785A">
        <w:rPr>
          <w:b/>
        </w:rPr>
        <w:t xml:space="preserve"> dotyczących obowiązku wsparcia wysokosprawnej</w:t>
      </w:r>
      <w:r>
        <w:rPr>
          <w:b/>
        </w:rPr>
        <w:t xml:space="preserve"> kogeneracji</w:t>
      </w:r>
    </w:p>
    <w:p w:rsidR="00A7123B" w:rsidRDefault="00A7123B" w:rsidP="00F0188F">
      <w:pPr>
        <w:spacing w:line="360" w:lineRule="auto"/>
        <w:contextualSpacing/>
        <w:rPr>
          <w:b/>
        </w:rPr>
      </w:pPr>
    </w:p>
    <w:p w:rsidR="00A7123B" w:rsidRPr="0037785A" w:rsidRDefault="0037785A" w:rsidP="0037785A">
      <w:pPr>
        <w:spacing w:line="360" w:lineRule="auto"/>
        <w:contextualSpacing/>
        <w:rPr>
          <w:b/>
        </w:rPr>
      </w:pPr>
      <w:r>
        <w:t xml:space="preserve">1) </w:t>
      </w:r>
      <w:r w:rsidR="00A7123B" w:rsidRPr="0037785A">
        <w:t>Art. 9a</w:t>
      </w:r>
      <w:r>
        <w:rPr>
          <w:b/>
        </w:rPr>
        <w:t>.</w:t>
      </w:r>
      <w:r w:rsidR="00A7123B">
        <w:rPr>
          <w:rFonts w:ascii="Arial"/>
          <w:color w:val="000000"/>
        </w:rPr>
        <w:t xml:space="preserve">   </w:t>
      </w:r>
    </w:p>
    <w:p w:rsidR="0037785A" w:rsidRDefault="0037785A" w:rsidP="0037785A">
      <w:pPr>
        <w:spacing w:before="100" w:beforeAutospacing="1" w:after="100" w:afterAutospacing="1" w:line="360" w:lineRule="auto"/>
        <w:jc w:val="both"/>
        <w:rPr>
          <w:lang w:eastAsia="pl-PL"/>
        </w:rPr>
      </w:pPr>
      <w:r w:rsidRPr="0037785A">
        <w:rPr>
          <w:lang w:eastAsia="pl-PL"/>
        </w:rPr>
        <w:t>1. Odbiorca przemysłowy, przedsiębiorstwo energetyczne, odbiorca końcowy oraz towarowy dom maklerski lub dom maklerski, o których mowa w ust. 2, w zakresie określonym w przepisach wydanych na podstawie ust. 16, są obowiązani:</w:t>
      </w:r>
    </w:p>
    <w:p w:rsidR="0037785A" w:rsidRDefault="0037785A" w:rsidP="0037785A">
      <w:pPr>
        <w:spacing w:before="100" w:beforeAutospacing="1" w:after="100" w:afterAutospacing="1" w:line="360" w:lineRule="auto"/>
        <w:jc w:val="both"/>
        <w:rPr>
          <w:lang w:eastAsia="pl-PL"/>
        </w:rPr>
      </w:pPr>
      <w:r w:rsidRPr="0037785A">
        <w:rPr>
          <w:lang w:eastAsia="pl-PL"/>
        </w:rPr>
        <w:t>1)  uzyskać i przedstawić do umorzenia Prezesowi Urzędu Regulacji Energetyki świadectwo pochodzenia z kogeneracji, o którym mowa w art. 9l ust. 1, wydane dla energii elektrycznej wytworzonej w jednostkach kogeneracji znajdujących się na terytorium Rzeczypospolitej Polskiej lub</w:t>
      </w:r>
    </w:p>
    <w:p w:rsidR="0037785A" w:rsidRDefault="0037785A" w:rsidP="0037785A">
      <w:pPr>
        <w:spacing w:before="100" w:beforeAutospacing="1" w:after="100" w:afterAutospacing="1" w:line="360" w:lineRule="auto"/>
        <w:jc w:val="both"/>
        <w:rPr>
          <w:lang w:eastAsia="pl-PL"/>
        </w:rPr>
      </w:pPr>
      <w:r w:rsidRPr="0037785A">
        <w:rPr>
          <w:lang w:eastAsia="pl-PL"/>
        </w:rPr>
        <w:t>2)  uiścić opłatę zastępczą, w terminie określonym w ust. 15, obliczoną w sposób określony w ust. 10.</w:t>
      </w:r>
    </w:p>
    <w:p w:rsidR="0037785A" w:rsidRDefault="0037785A" w:rsidP="0037785A">
      <w:pPr>
        <w:spacing w:before="100" w:beforeAutospacing="1" w:after="100" w:afterAutospacing="1" w:line="360" w:lineRule="auto"/>
        <w:jc w:val="both"/>
        <w:rPr>
          <w:lang w:eastAsia="pl-PL"/>
        </w:rPr>
      </w:pPr>
      <w:r w:rsidRPr="0037785A">
        <w:rPr>
          <w:lang w:eastAsia="pl-PL"/>
        </w:rPr>
        <w:t>2. Obowiązek, o którym mowa w ust. 1, wykonują:</w:t>
      </w:r>
    </w:p>
    <w:p w:rsidR="0037785A" w:rsidRDefault="0037785A" w:rsidP="0037785A">
      <w:pPr>
        <w:spacing w:before="100" w:beforeAutospacing="1" w:after="100" w:afterAutospacing="1" w:line="360" w:lineRule="auto"/>
        <w:jc w:val="both"/>
        <w:rPr>
          <w:lang w:eastAsia="pl-PL"/>
        </w:rPr>
      </w:pPr>
      <w:r w:rsidRPr="0037785A">
        <w:rPr>
          <w:lang w:eastAsia="pl-PL"/>
        </w:rPr>
        <w:t xml:space="preserve">1)  odbiorca przemysłowy, który w roku kalendarzowym poprzedzającym rok realizacji tego obowiązku zużył nie mniej niż 100 </w:t>
      </w:r>
      <w:proofErr w:type="spellStart"/>
      <w:r w:rsidRPr="0037785A">
        <w:rPr>
          <w:lang w:eastAsia="pl-PL"/>
        </w:rPr>
        <w:t>GWh</w:t>
      </w:r>
      <w:proofErr w:type="spellEnd"/>
      <w:r w:rsidRPr="0037785A">
        <w:rPr>
          <w:lang w:eastAsia="pl-PL"/>
        </w:rPr>
        <w:t xml:space="preserve"> energii elektrycznej oraz złożył oświadczenie, o którym mowa w ust. 3;</w:t>
      </w:r>
    </w:p>
    <w:p w:rsidR="0037785A" w:rsidRDefault="0037785A" w:rsidP="0037785A">
      <w:pPr>
        <w:spacing w:before="100" w:beforeAutospacing="1" w:after="100" w:afterAutospacing="1" w:line="360" w:lineRule="auto"/>
        <w:jc w:val="both"/>
        <w:rPr>
          <w:lang w:eastAsia="pl-PL"/>
        </w:rPr>
      </w:pPr>
      <w:r>
        <w:rPr>
          <w:lang w:eastAsia="pl-PL"/>
        </w:rPr>
        <w:t xml:space="preserve">2) </w:t>
      </w:r>
      <w:r w:rsidRPr="0037785A">
        <w:rPr>
          <w:lang w:eastAsia="pl-PL"/>
        </w:rPr>
        <w:t>przedsiębiorstwo energetyczne wykonujące działalność gospodarczą w zakresie wytwarzania energii elektrycznej lub obrotu tą energią i sprzedające tę energię odbiorcom końcowym niebędących odbiorcami przemysłowymi, o których mowa w pkt 1;</w:t>
      </w:r>
    </w:p>
    <w:p w:rsidR="0037785A" w:rsidRDefault="0037785A" w:rsidP="0037785A">
      <w:pPr>
        <w:spacing w:before="100" w:beforeAutospacing="1" w:after="100" w:afterAutospacing="1" w:line="360" w:lineRule="auto"/>
        <w:jc w:val="both"/>
        <w:rPr>
          <w:lang w:eastAsia="pl-PL"/>
        </w:rPr>
      </w:pPr>
      <w:r w:rsidRPr="0037785A">
        <w:rPr>
          <w:lang w:eastAsia="pl-PL"/>
        </w:rPr>
        <w:t xml:space="preserve">3)  odbiorca końcowy, inny niż odbiorca przemysłowy, o którym mowa w pkt 1, będący członkiem giełdy w rozumieniu art. 2 pkt 5 ustawy z dnia 26 października 2000 r. o giełdach </w:t>
      </w:r>
      <w:r w:rsidRPr="0037785A">
        <w:rPr>
          <w:lang w:eastAsia="pl-PL"/>
        </w:rPr>
        <w:lastRenderedPageBreak/>
        <w:t>towarowych lub członkiem rynku organizowanego przez podmiot prowadzący na terytorium Rzeczypospolitej Polskiej rynek regulowany, w odniesieniu do transakcji zawieranych we własnym imieniu na giełdzie towarowej lub na rynku organizowanym przez ten podmiot;</w:t>
      </w:r>
    </w:p>
    <w:p w:rsidR="0037785A" w:rsidRDefault="0037785A" w:rsidP="0037785A">
      <w:pPr>
        <w:spacing w:before="100" w:beforeAutospacing="1" w:after="100" w:afterAutospacing="1" w:line="360" w:lineRule="auto"/>
        <w:jc w:val="both"/>
        <w:rPr>
          <w:lang w:eastAsia="pl-PL"/>
        </w:rPr>
      </w:pPr>
      <w:r w:rsidRPr="0037785A">
        <w:rPr>
          <w:lang w:eastAsia="pl-PL"/>
        </w:rPr>
        <w:t>4)  odbiorca końcowy, inny niż odbiorca przemysłowy, o którym mowa w pkt 1, będący członkiem giełdowej izby rozrachunkowej w rozumieniu ustawy z dnia 26 października 2000 r. o giełdach towarowych, w odniesieniu do transakcji zawieranych przez niego poza giełdą towarową lub rynkiem, o których mowa w pkt 3, będących przedmiotem rozliczeń prowadzonych w ramach tej izby przez spółkę prowadzącą giełdową izbę rozrachunkową, przez Krajowy Depozyt Papierów Wartościowych S.A. lub przez spółkę, której Krajowy Depozyt Papierów Wartościowych S.A. przekazał wykonywanie czynności z zakresu zadań, o których mowa w art. 48 ust. 2 ustawy z dnia 29 lipca 2005 r. o obrocie instrumentami finansowymi;</w:t>
      </w:r>
    </w:p>
    <w:p w:rsidR="0037785A" w:rsidRDefault="0037785A" w:rsidP="0037785A">
      <w:pPr>
        <w:spacing w:before="100" w:beforeAutospacing="1" w:after="100" w:afterAutospacing="1" w:line="360" w:lineRule="auto"/>
        <w:jc w:val="both"/>
        <w:rPr>
          <w:lang w:eastAsia="pl-PL"/>
        </w:rPr>
      </w:pPr>
      <w:r w:rsidRPr="0037785A">
        <w:rPr>
          <w:lang w:eastAsia="pl-PL"/>
        </w:rPr>
        <w:t>5)  towarowy dom maklerski lub dom maklerski, o których mowa w art. 2 pkt 8 i 9 ustawy z dnia 26 października 2000 r. o giełdach towarowych, w odniesieniu do transakcji zawieranych na zlecenie odbiorców końcowych, innych niż odbiorcy przemysłowi, o których mowa w pkt 1, na giełdzie towarowej lub na rynku organizowanym przez podmiot prowadzący na terytorium Rzeczypospolitej Polskiej rynek regulowany.</w:t>
      </w:r>
    </w:p>
    <w:p w:rsidR="0037785A" w:rsidRDefault="0037785A" w:rsidP="0037785A">
      <w:pPr>
        <w:spacing w:before="100" w:beforeAutospacing="1" w:after="100" w:afterAutospacing="1" w:line="360" w:lineRule="auto"/>
        <w:jc w:val="both"/>
        <w:rPr>
          <w:lang w:eastAsia="pl-PL"/>
        </w:rPr>
      </w:pPr>
      <w:r w:rsidRPr="0037785A">
        <w:rPr>
          <w:lang w:eastAsia="pl-PL"/>
        </w:rPr>
        <w:t xml:space="preserve">3. Odbiorca przemysłowy, o którym mowa w ust. 2 pkt 1, składa Prezesowi Urzędu Regulacji Energetyki oświadczenie potwierdzające zużycie nie mniej niż 100 </w:t>
      </w:r>
      <w:proofErr w:type="spellStart"/>
      <w:r w:rsidRPr="0037785A">
        <w:rPr>
          <w:lang w:eastAsia="pl-PL"/>
        </w:rPr>
        <w:t>GWh</w:t>
      </w:r>
      <w:proofErr w:type="spellEnd"/>
      <w:r w:rsidRPr="0037785A">
        <w:rPr>
          <w:lang w:eastAsia="pl-PL"/>
        </w:rPr>
        <w:t xml:space="preserve"> energii elektrycznej, w roku kalendarzowym poprzedzającym rok realizacji obowiązku, o którym mowa w ust. 1, w terminie do dnia 30 listopada roku poprzedzającego rok realizacji obowiązku.</w:t>
      </w:r>
    </w:p>
    <w:p w:rsidR="0037785A" w:rsidRDefault="0037785A" w:rsidP="0037785A">
      <w:pPr>
        <w:spacing w:before="100" w:beforeAutospacing="1" w:after="100" w:afterAutospacing="1" w:line="360" w:lineRule="auto"/>
        <w:jc w:val="both"/>
        <w:rPr>
          <w:lang w:eastAsia="pl-PL"/>
        </w:rPr>
      </w:pPr>
      <w:r w:rsidRPr="0037785A">
        <w:rPr>
          <w:lang w:eastAsia="pl-PL"/>
        </w:rPr>
        <w:t>4. Prezes Urzędu Regulacji Energetyki sporządza wykaz odbiorców przemysłowych, którzy złożyli oświadczenie, o którym mowa w ust. 3, i ogłasza go w Biuletynie Informacji Publicznej Urzędu Regulacji Energetyki, w terminie do dnia 31 grudnia roku poprzedzającego rok realizacji obowiązku.</w:t>
      </w:r>
    </w:p>
    <w:p w:rsidR="0037785A" w:rsidRDefault="0037785A" w:rsidP="0037785A">
      <w:pPr>
        <w:spacing w:before="100" w:beforeAutospacing="1" w:after="100" w:afterAutospacing="1" w:line="360" w:lineRule="auto"/>
        <w:jc w:val="both"/>
        <w:rPr>
          <w:lang w:eastAsia="pl-PL"/>
        </w:rPr>
      </w:pPr>
      <w:r w:rsidRPr="0037785A">
        <w:rPr>
          <w:lang w:eastAsia="pl-PL"/>
        </w:rPr>
        <w:t>5. Odbiorca przemysłowy, o którym mowa w ust. 2 pkt 1, w terminie do dnia 31 sierpnia roku następującego po roku realizacji obowiązku, przekazuje Prezesowi Urzędu Regulacji Energetyki:</w:t>
      </w:r>
    </w:p>
    <w:p w:rsidR="0037785A" w:rsidRDefault="0037785A" w:rsidP="0037785A">
      <w:pPr>
        <w:spacing w:before="100" w:beforeAutospacing="1" w:after="100" w:afterAutospacing="1" w:line="360" w:lineRule="auto"/>
        <w:jc w:val="both"/>
        <w:rPr>
          <w:lang w:eastAsia="pl-PL"/>
        </w:rPr>
      </w:pPr>
      <w:r w:rsidRPr="0037785A">
        <w:rPr>
          <w:lang w:eastAsia="pl-PL"/>
        </w:rPr>
        <w:t>1)  informację o wysokości wykonanego obowiązku, o którym mowa w ust. 1, oraz ilości zakupionej energii elektrycznej na własny użytek w roku realizacji obowiązku;</w:t>
      </w:r>
    </w:p>
    <w:p w:rsidR="0037785A" w:rsidRDefault="0037785A" w:rsidP="0037785A">
      <w:pPr>
        <w:spacing w:before="100" w:beforeAutospacing="1" w:after="100" w:afterAutospacing="1" w:line="360" w:lineRule="auto"/>
        <w:jc w:val="both"/>
        <w:rPr>
          <w:lang w:eastAsia="pl-PL"/>
        </w:rPr>
      </w:pPr>
      <w:r w:rsidRPr="0037785A">
        <w:rPr>
          <w:lang w:eastAsia="pl-PL"/>
        </w:rPr>
        <w:lastRenderedPageBreak/>
        <w:t>2)     oświadczenie następującej treści:</w:t>
      </w:r>
    </w:p>
    <w:p w:rsidR="0037785A" w:rsidRDefault="0037785A" w:rsidP="0037785A">
      <w:pPr>
        <w:spacing w:before="100" w:beforeAutospacing="1" w:after="100" w:afterAutospacing="1" w:line="360" w:lineRule="auto"/>
        <w:jc w:val="both"/>
        <w:rPr>
          <w:lang w:eastAsia="pl-PL"/>
        </w:rPr>
      </w:pPr>
      <w:r w:rsidRPr="0037785A">
        <w:rPr>
          <w:lang w:eastAsia="pl-PL"/>
        </w:rPr>
        <w:t>"Świadomy odpowiedzialności karnej za złożenie fałszywego oświadczenia wynikającej z art. 233 § 6 ustawy z dnia 6 czerwca 1997 r. - Kodeks karny oświadczam, że dane zawarte w informacji, o której mowa w art. 9a ust. 5 pkt 1 ustawy z dnia 10 kwietnia 1997 r. - Prawo energetyczne, są zgodne z prawdą."; klauzula ta zastępuje pouczenie organu o odpowiedzialności karnej za składanie fałszywych zeznań.</w:t>
      </w:r>
    </w:p>
    <w:p w:rsidR="0037785A" w:rsidRDefault="0037785A" w:rsidP="0037785A">
      <w:pPr>
        <w:spacing w:before="100" w:beforeAutospacing="1" w:after="100" w:afterAutospacing="1" w:line="360" w:lineRule="auto"/>
        <w:jc w:val="both"/>
        <w:rPr>
          <w:lang w:eastAsia="pl-PL"/>
        </w:rPr>
      </w:pPr>
      <w:r w:rsidRPr="0037785A">
        <w:rPr>
          <w:lang w:eastAsia="pl-PL"/>
        </w:rPr>
        <w:t>6. Przez odbiorcę przemysłowego rozumie się odbiorcę końcowego którego przeważającą działalnością gospodarczą jest działalność określona w Polskiej Klasyfikacji Działalności (PKD) i oznaczona następującymi kodami: 0510; 0729; 0811; 0891; 0893; 0899; 1032; 1039; 1041; 1062; 1104; 1106; 1310; 1320; 1394; 1395; 1411; 1610; 1621; 1711; 1712; 1722; 1920; 2012; 2013; 2014; 2015; 2016; 2017; 2060; 2110; 2221; 2222; 2311; 2312; 2313; 2314; 2319; 2320; 2331; 2342; 2343; 2349; 2399; 2410; 2420; 2431; 2432; 2434; 2441; 2442; 2443; 2444; 2445; 2446; 2720; 3299; 2011; 2332; 2351; 2352; 2451; 2452; 2453; 2454; 2611; 2680; 3832.</w:t>
      </w:r>
    </w:p>
    <w:p w:rsidR="0037785A" w:rsidRDefault="0037785A" w:rsidP="0037785A">
      <w:pPr>
        <w:spacing w:before="100" w:beforeAutospacing="1" w:after="100" w:afterAutospacing="1" w:line="360" w:lineRule="auto"/>
        <w:jc w:val="both"/>
        <w:rPr>
          <w:lang w:eastAsia="pl-PL"/>
        </w:rPr>
      </w:pPr>
      <w:r w:rsidRPr="0037785A">
        <w:rPr>
          <w:lang w:eastAsia="pl-PL"/>
        </w:rPr>
        <w:t>7. Przedsiębiorstwo energetyczne posiadające koncesję na obrót energią elektryczną, w terminie miesiąca od zakończenia roku kalendarzowego, w którym zakupiło energię elektryczną w wyniku transakcji zawartej za pośrednictwem towarowego domu maklerskiego lub domu maklerskiego na giełdzie towarowej lub na rynku organizowanym przez podmiot prowadzący na terytorium Rzeczypospolitej Polskiej rynek regulowany, jest obowiązane do przekazania towarowemu domowi maklerskiemu lub domowi maklerskiemu deklaracji o ilości energii elektrycznej zakupionej w wyniku tej transakcji i zużytej na własny użytek oraz przeznaczonej do dalszej odsprzedaży.</w:t>
      </w:r>
    </w:p>
    <w:p w:rsidR="0037785A" w:rsidRDefault="0037785A" w:rsidP="0037785A">
      <w:pPr>
        <w:spacing w:before="100" w:beforeAutospacing="1" w:after="100" w:afterAutospacing="1" w:line="360" w:lineRule="auto"/>
        <w:jc w:val="both"/>
        <w:rPr>
          <w:lang w:eastAsia="pl-PL"/>
        </w:rPr>
      </w:pPr>
      <w:r w:rsidRPr="0037785A">
        <w:rPr>
          <w:lang w:eastAsia="pl-PL"/>
        </w:rPr>
        <w:t>8. Deklaracja, o której mowa w ust. 7, stanowi podstawę wykonania przez towarowy dom maklerski lub dom maklerski obowiązków, o których mowa w ust. 1.</w:t>
      </w:r>
    </w:p>
    <w:p w:rsidR="0037785A" w:rsidRDefault="0037785A" w:rsidP="0037785A">
      <w:pPr>
        <w:spacing w:before="100" w:beforeAutospacing="1" w:after="100" w:afterAutospacing="1" w:line="360" w:lineRule="auto"/>
        <w:jc w:val="both"/>
        <w:rPr>
          <w:lang w:eastAsia="pl-PL"/>
        </w:rPr>
      </w:pPr>
      <w:r w:rsidRPr="0037785A">
        <w:rPr>
          <w:lang w:eastAsia="pl-PL"/>
        </w:rPr>
        <w:t xml:space="preserve">9. Realizacja zlecenia nabycia energii elektrycznej na giełdzie towarowej lub na rynku organizowanym przez podmiot prowadzący na terytorium Rzeczypospolitej Polskiej rynek regulowany, przez towarowy dom maklerski lub dom maklerski może nastąpić po złożeniu przez składającego zlecenie zabezpieczenia na pokrycie kosztów wykonania przez towarowy dom maklerski lub dom maklerski obowiązków, o których mowa w ust. 1, w zakresie określonym w ust. 2 pkt 3. Wysokość zabezpieczenia oraz sposób jego złożenia określa </w:t>
      </w:r>
      <w:r w:rsidRPr="0037785A">
        <w:rPr>
          <w:lang w:eastAsia="pl-PL"/>
        </w:rPr>
        <w:lastRenderedPageBreak/>
        <w:t>umowa zawarta między towarowym domem maklerskim lub domem maklerskim a składającym zlecenie.</w:t>
      </w:r>
    </w:p>
    <w:p w:rsidR="0037785A" w:rsidRDefault="0037785A" w:rsidP="0037785A">
      <w:pPr>
        <w:spacing w:before="100" w:beforeAutospacing="1" w:after="100" w:afterAutospacing="1" w:line="360" w:lineRule="auto"/>
        <w:jc w:val="both"/>
        <w:rPr>
          <w:lang w:eastAsia="pl-PL"/>
        </w:rPr>
      </w:pPr>
      <w:r w:rsidRPr="0037785A">
        <w:rPr>
          <w:lang w:eastAsia="pl-PL"/>
        </w:rPr>
        <w:t>10. Opłatę zastępczą, o której mowa w ust. 1 pkt 2, oblicza się według wzoru:</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Ozs</w:t>
      </w:r>
      <w:proofErr w:type="spellEnd"/>
      <w:r w:rsidRPr="0037785A">
        <w:rPr>
          <w:lang w:eastAsia="pl-PL"/>
        </w:rPr>
        <w:t xml:space="preserve"> = </w:t>
      </w:r>
      <w:proofErr w:type="spellStart"/>
      <w:r w:rsidRPr="0037785A">
        <w:rPr>
          <w:lang w:eastAsia="pl-PL"/>
        </w:rPr>
        <w:t>Ozg</w:t>
      </w:r>
      <w:proofErr w:type="spellEnd"/>
      <w:r w:rsidRPr="0037785A">
        <w:rPr>
          <w:lang w:eastAsia="pl-PL"/>
        </w:rPr>
        <w:t xml:space="preserve"> x </w:t>
      </w:r>
      <w:proofErr w:type="spellStart"/>
      <w:r w:rsidRPr="0037785A">
        <w:rPr>
          <w:lang w:eastAsia="pl-PL"/>
        </w:rPr>
        <w:t>Eog</w:t>
      </w:r>
      <w:proofErr w:type="spellEnd"/>
      <w:r w:rsidRPr="0037785A">
        <w:rPr>
          <w:lang w:eastAsia="pl-PL"/>
        </w:rPr>
        <w:t xml:space="preserve"> + </w:t>
      </w:r>
      <w:proofErr w:type="spellStart"/>
      <w:r w:rsidRPr="0037785A">
        <w:rPr>
          <w:lang w:eastAsia="pl-PL"/>
        </w:rPr>
        <w:t>Ozk</w:t>
      </w:r>
      <w:proofErr w:type="spellEnd"/>
      <w:r w:rsidRPr="0037785A">
        <w:rPr>
          <w:lang w:eastAsia="pl-PL"/>
        </w:rPr>
        <w:t xml:space="preserve"> x </w:t>
      </w:r>
      <w:proofErr w:type="spellStart"/>
      <w:r w:rsidRPr="0037785A">
        <w:rPr>
          <w:lang w:eastAsia="pl-PL"/>
        </w:rPr>
        <w:t>Eok</w:t>
      </w:r>
      <w:proofErr w:type="spellEnd"/>
      <w:r w:rsidRPr="0037785A">
        <w:rPr>
          <w:lang w:eastAsia="pl-PL"/>
        </w:rPr>
        <w:t xml:space="preserve"> + </w:t>
      </w:r>
      <w:proofErr w:type="spellStart"/>
      <w:r w:rsidRPr="0037785A">
        <w:rPr>
          <w:lang w:eastAsia="pl-PL"/>
        </w:rPr>
        <w:t>Ozm</w:t>
      </w:r>
      <w:proofErr w:type="spellEnd"/>
      <w:r w:rsidRPr="0037785A">
        <w:rPr>
          <w:lang w:eastAsia="pl-PL"/>
        </w:rPr>
        <w:t xml:space="preserve"> x </w:t>
      </w:r>
      <w:proofErr w:type="spellStart"/>
      <w:r w:rsidRPr="0037785A">
        <w:rPr>
          <w:lang w:eastAsia="pl-PL"/>
        </w:rPr>
        <w:t>Eom</w:t>
      </w:r>
      <w:proofErr w:type="spellEnd"/>
      <w:r w:rsidRPr="0037785A">
        <w:rPr>
          <w:lang w:eastAsia="pl-PL"/>
        </w:rPr>
        <w:t>,</w:t>
      </w:r>
    </w:p>
    <w:p w:rsidR="0037785A" w:rsidRDefault="0037785A" w:rsidP="0037785A">
      <w:pPr>
        <w:spacing w:before="100" w:beforeAutospacing="1" w:after="100" w:afterAutospacing="1" w:line="360" w:lineRule="auto"/>
        <w:jc w:val="both"/>
        <w:rPr>
          <w:lang w:eastAsia="pl-PL"/>
        </w:rPr>
      </w:pPr>
      <w:r w:rsidRPr="0037785A">
        <w:rPr>
          <w:lang w:eastAsia="pl-PL"/>
        </w:rPr>
        <w:t>gdzie poszczególne symbole oznaczają:</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Ozs</w:t>
      </w:r>
      <w:proofErr w:type="spellEnd"/>
      <w:r w:rsidRPr="0037785A">
        <w:rPr>
          <w:lang w:eastAsia="pl-PL"/>
        </w:rPr>
        <w:t xml:space="preserve"> - opłatę zastępczą, o której mowa w ust. 1 pkt 2, wyrażoną w złotych,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Ozg</w:t>
      </w:r>
      <w:proofErr w:type="spellEnd"/>
      <w:r w:rsidRPr="0037785A">
        <w:rPr>
          <w:lang w:eastAsia="pl-PL"/>
        </w:rPr>
        <w:t xml:space="preserve"> - jednostkową opłatę zastępczą, nie niższą niż 15% i nie wyższą niż 110% średniej ceny sprzedaży energii elektrycznej na rynku konkurencyjnym, o której mowa w art. 23 ust. 2 pkt 18 lit. b, wyrażoną w złotych za 1 MWh,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Eog</w:t>
      </w:r>
      <w:proofErr w:type="spellEnd"/>
      <w:r w:rsidRPr="0037785A">
        <w:rPr>
          <w:lang w:eastAsia="pl-PL"/>
        </w:rPr>
        <w:t xml:space="preserve"> - ilość energii elektrycznej równą różnicy między ilością energii elektrycznej wynikającą z zakresu obowiązku określonego w ust. 11 dla jednostek kogeneracji, o których mowa w art. 9l ust. 1 pkt 1, a ilością energii elektrycznej wynikającą ze świadectw pochodzenia z kogeneracji, o których mowa w art. 9l ust. 1 pkt 1, umorzonych obowiązanym podmiotom, w terminie, o którym mowa w art. 9m ust. 14, wyrażoną w MWh,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Ozk</w:t>
      </w:r>
      <w:proofErr w:type="spellEnd"/>
      <w:r w:rsidRPr="0037785A">
        <w:rPr>
          <w:lang w:eastAsia="pl-PL"/>
        </w:rPr>
        <w:t xml:space="preserve"> - jednostkową opłatę zastępczą, nie niższą niż 5% i nie wyższą niż 40% średniej ceny sprzedaży energii elektrycznej na rynku konkurencyjnym, o której mowa w art. 23 ust. 2 pkt 18 lit. b, wyrażoną w złotych za 1 MWh,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Eok</w:t>
      </w:r>
      <w:proofErr w:type="spellEnd"/>
      <w:r w:rsidRPr="0037785A">
        <w:rPr>
          <w:lang w:eastAsia="pl-PL"/>
        </w:rPr>
        <w:t xml:space="preserve"> - ilość energii elektrycznej równą różnicy między ilością energii elektrycznej wynikającą z zakresu obowiązku określonego w ust. 11 dla jednostek kogeneracji, o których mowa w art. 9l ust. 1 pkt 2, a ilością energii elektrycznej wynikającą ze świadectw pochodzenia z kogeneracji, o których mowa w art. 9l ust. 1 pkt 2, umorzonych obowiązanemu podmiotowi, w terminie, o którym mowa w art. 9m ust. 14, wyrażoną w MWh,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Ozm</w:t>
      </w:r>
      <w:proofErr w:type="spellEnd"/>
      <w:r w:rsidRPr="0037785A">
        <w:rPr>
          <w:lang w:eastAsia="pl-PL"/>
        </w:rPr>
        <w:t xml:space="preserve"> - jednostkową opłatę zastępczą, nie niższą niż 30% i nie wyższą niż 120% średniej ceny sprzedaży energii elektrycznej na rynku konkurencyjnym, o której mowa w art. 23 ust. 2 pkt 18 lit. b, wyrażoną w złotych za 1 MWh,</w:t>
      </w:r>
    </w:p>
    <w:p w:rsidR="0037785A" w:rsidRDefault="0037785A" w:rsidP="0037785A">
      <w:pPr>
        <w:spacing w:before="100" w:beforeAutospacing="1" w:after="100" w:afterAutospacing="1" w:line="360" w:lineRule="auto"/>
        <w:jc w:val="both"/>
        <w:rPr>
          <w:lang w:eastAsia="pl-PL"/>
        </w:rPr>
      </w:pPr>
      <w:proofErr w:type="spellStart"/>
      <w:r w:rsidRPr="0037785A">
        <w:rPr>
          <w:lang w:eastAsia="pl-PL"/>
        </w:rPr>
        <w:t>Eom</w:t>
      </w:r>
      <w:proofErr w:type="spellEnd"/>
      <w:r w:rsidRPr="0037785A">
        <w:rPr>
          <w:lang w:eastAsia="pl-PL"/>
        </w:rPr>
        <w:t xml:space="preserve"> - ilość energii elektrycznej równą różnicy między ilością energii elektrycznej wynikającą z zakresu obowiązku określonego w ust. 11 dla jednostek kogeneracji, o których mowa w art. </w:t>
      </w:r>
      <w:r w:rsidRPr="0037785A">
        <w:rPr>
          <w:lang w:eastAsia="pl-PL"/>
        </w:rPr>
        <w:lastRenderedPageBreak/>
        <w:t>9l ust. 1 pkt 1a, a ilością energii elektrycznej wynikającą ze świadectw pochodzenia z kogeneracji, o których mowa w art. 9l ust. 1 pkt 1a, umorzonych obowiązanym podmiotom, w terminie, o którym mowa w art. 9m ust. 14, wyrażoną w MWh.</w:t>
      </w:r>
    </w:p>
    <w:p w:rsidR="0037785A" w:rsidRDefault="0037785A" w:rsidP="0037785A">
      <w:pPr>
        <w:spacing w:before="100" w:beforeAutospacing="1" w:after="100" w:afterAutospacing="1" w:line="360" w:lineRule="auto"/>
        <w:jc w:val="both"/>
        <w:rPr>
          <w:lang w:eastAsia="pl-PL"/>
        </w:rPr>
      </w:pPr>
      <w:r w:rsidRPr="0037785A">
        <w:rPr>
          <w:lang w:eastAsia="pl-PL"/>
        </w:rPr>
        <w:t>11. Zakres obowiązku uzyskania i przedstawienia do umorzenia świadectwa pochodzenia z kogeneracji lub uiszczenia opłaty zastępczej, o którym mowa w ust. 1, określa się:</w:t>
      </w:r>
    </w:p>
    <w:p w:rsidR="0037785A" w:rsidRDefault="0037785A" w:rsidP="0037785A">
      <w:pPr>
        <w:spacing w:before="100" w:beforeAutospacing="1" w:after="100" w:afterAutospacing="1" w:line="360" w:lineRule="auto"/>
        <w:jc w:val="both"/>
        <w:rPr>
          <w:lang w:eastAsia="pl-PL"/>
        </w:rPr>
      </w:pPr>
      <w:r w:rsidRPr="0037785A">
        <w:rPr>
          <w:lang w:eastAsia="pl-PL"/>
        </w:rPr>
        <w:t>1)  dla jednostki kogeneracji, o której mowa w art. 9l ust. 1 pkt 1, na poziomie:</w:t>
      </w:r>
    </w:p>
    <w:p w:rsidR="0037785A" w:rsidRDefault="0037785A" w:rsidP="0037785A">
      <w:pPr>
        <w:spacing w:before="100" w:beforeAutospacing="1" w:after="100" w:afterAutospacing="1" w:line="360" w:lineRule="auto"/>
        <w:jc w:val="both"/>
        <w:rPr>
          <w:lang w:eastAsia="pl-PL"/>
        </w:rPr>
      </w:pPr>
      <w:r w:rsidRPr="0037785A">
        <w:rPr>
          <w:lang w:eastAsia="pl-PL"/>
        </w:rPr>
        <w:t>a)  3,9% w 2014 r.,</w:t>
      </w:r>
    </w:p>
    <w:p w:rsidR="0037785A" w:rsidRDefault="0037785A" w:rsidP="0037785A">
      <w:pPr>
        <w:spacing w:before="100" w:beforeAutospacing="1" w:after="100" w:afterAutospacing="1" w:line="360" w:lineRule="auto"/>
        <w:jc w:val="both"/>
        <w:rPr>
          <w:lang w:eastAsia="pl-PL"/>
        </w:rPr>
      </w:pPr>
      <w:r w:rsidRPr="0037785A">
        <w:rPr>
          <w:lang w:eastAsia="pl-PL"/>
        </w:rPr>
        <w:t>b)  4,9% w 2015 r.,</w:t>
      </w:r>
    </w:p>
    <w:p w:rsidR="0037785A" w:rsidRDefault="0037785A" w:rsidP="0037785A">
      <w:pPr>
        <w:spacing w:before="100" w:beforeAutospacing="1" w:after="100" w:afterAutospacing="1" w:line="360" w:lineRule="auto"/>
        <w:jc w:val="both"/>
        <w:rPr>
          <w:lang w:eastAsia="pl-PL"/>
        </w:rPr>
      </w:pPr>
      <w:r w:rsidRPr="0037785A">
        <w:rPr>
          <w:lang w:eastAsia="pl-PL"/>
        </w:rPr>
        <w:t>c)  6,0% w 2016 r.,</w:t>
      </w:r>
    </w:p>
    <w:p w:rsidR="0037785A" w:rsidRDefault="0037785A" w:rsidP="0037785A">
      <w:pPr>
        <w:spacing w:before="100" w:beforeAutospacing="1" w:after="100" w:afterAutospacing="1" w:line="360" w:lineRule="auto"/>
        <w:jc w:val="both"/>
        <w:rPr>
          <w:lang w:eastAsia="pl-PL"/>
        </w:rPr>
      </w:pPr>
      <w:r w:rsidRPr="0037785A">
        <w:rPr>
          <w:lang w:eastAsia="pl-PL"/>
        </w:rPr>
        <w:t>d)  7,0% w 2017 r.,</w:t>
      </w:r>
    </w:p>
    <w:p w:rsidR="0037785A" w:rsidRDefault="0037785A" w:rsidP="0037785A">
      <w:pPr>
        <w:spacing w:before="100" w:beforeAutospacing="1" w:after="100" w:afterAutospacing="1" w:line="360" w:lineRule="auto"/>
        <w:jc w:val="both"/>
        <w:rPr>
          <w:lang w:eastAsia="pl-PL"/>
        </w:rPr>
      </w:pPr>
      <w:r w:rsidRPr="0037785A">
        <w:rPr>
          <w:lang w:eastAsia="pl-PL"/>
        </w:rPr>
        <w:t>e)  8,0% w 2018 r.;</w:t>
      </w:r>
    </w:p>
    <w:p w:rsidR="0037785A" w:rsidRDefault="0037785A" w:rsidP="0037785A">
      <w:pPr>
        <w:spacing w:before="100" w:beforeAutospacing="1" w:after="100" w:afterAutospacing="1" w:line="360" w:lineRule="auto"/>
        <w:jc w:val="both"/>
        <w:rPr>
          <w:lang w:eastAsia="pl-PL"/>
        </w:rPr>
      </w:pPr>
      <w:r w:rsidRPr="0037785A">
        <w:rPr>
          <w:lang w:eastAsia="pl-PL"/>
        </w:rPr>
        <w:t>2)  dla jednostki kogeneracji, o której mowa w art. 9l ust. 1 pkt 1a, na poziomie:</w:t>
      </w:r>
    </w:p>
    <w:p w:rsidR="0037785A" w:rsidRDefault="0037785A" w:rsidP="0037785A">
      <w:pPr>
        <w:spacing w:before="100" w:beforeAutospacing="1" w:after="100" w:afterAutospacing="1" w:line="360" w:lineRule="auto"/>
        <w:jc w:val="both"/>
        <w:rPr>
          <w:lang w:eastAsia="pl-PL"/>
        </w:rPr>
      </w:pPr>
      <w:r w:rsidRPr="0037785A">
        <w:rPr>
          <w:lang w:eastAsia="pl-PL"/>
        </w:rPr>
        <w:t>a)  1,1% w 2014 r.,</w:t>
      </w:r>
    </w:p>
    <w:p w:rsidR="0037785A" w:rsidRDefault="0037785A" w:rsidP="0037785A">
      <w:pPr>
        <w:spacing w:before="100" w:beforeAutospacing="1" w:after="100" w:afterAutospacing="1" w:line="360" w:lineRule="auto"/>
        <w:jc w:val="both"/>
        <w:rPr>
          <w:lang w:eastAsia="pl-PL"/>
        </w:rPr>
      </w:pPr>
      <w:r w:rsidRPr="0037785A">
        <w:rPr>
          <w:lang w:eastAsia="pl-PL"/>
        </w:rPr>
        <w:t>b)  1,3% w 2015 r.,</w:t>
      </w:r>
    </w:p>
    <w:p w:rsidR="0037785A" w:rsidRDefault="0037785A" w:rsidP="0037785A">
      <w:pPr>
        <w:spacing w:before="100" w:beforeAutospacing="1" w:after="100" w:afterAutospacing="1" w:line="360" w:lineRule="auto"/>
        <w:jc w:val="both"/>
        <w:rPr>
          <w:lang w:eastAsia="pl-PL"/>
        </w:rPr>
      </w:pPr>
      <w:r w:rsidRPr="0037785A">
        <w:rPr>
          <w:lang w:eastAsia="pl-PL"/>
        </w:rPr>
        <w:t>c)  1,5% w 2016 r.,</w:t>
      </w:r>
    </w:p>
    <w:p w:rsidR="0037785A" w:rsidRDefault="0037785A" w:rsidP="0037785A">
      <w:pPr>
        <w:spacing w:before="100" w:beforeAutospacing="1" w:after="100" w:afterAutospacing="1" w:line="360" w:lineRule="auto"/>
        <w:jc w:val="both"/>
        <w:rPr>
          <w:lang w:eastAsia="pl-PL"/>
        </w:rPr>
      </w:pPr>
      <w:r w:rsidRPr="0037785A">
        <w:rPr>
          <w:lang w:eastAsia="pl-PL"/>
        </w:rPr>
        <w:t>d)  1,8% w 2017 r.,</w:t>
      </w:r>
    </w:p>
    <w:p w:rsidR="0037785A" w:rsidRDefault="0037785A" w:rsidP="0037785A">
      <w:pPr>
        <w:spacing w:before="100" w:beforeAutospacing="1" w:after="100" w:afterAutospacing="1" w:line="360" w:lineRule="auto"/>
        <w:jc w:val="both"/>
        <w:rPr>
          <w:lang w:eastAsia="pl-PL"/>
        </w:rPr>
      </w:pPr>
      <w:r w:rsidRPr="0037785A">
        <w:rPr>
          <w:lang w:eastAsia="pl-PL"/>
        </w:rPr>
        <w:t>e)  2,3% w 2018 r.;</w:t>
      </w:r>
    </w:p>
    <w:p w:rsidR="0037785A" w:rsidRDefault="0037785A" w:rsidP="0037785A">
      <w:pPr>
        <w:spacing w:before="100" w:beforeAutospacing="1" w:after="100" w:afterAutospacing="1" w:line="360" w:lineRule="auto"/>
        <w:jc w:val="both"/>
        <w:rPr>
          <w:lang w:eastAsia="pl-PL"/>
        </w:rPr>
      </w:pPr>
      <w:r w:rsidRPr="0037785A">
        <w:rPr>
          <w:lang w:eastAsia="pl-PL"/>
        </w:rPr>
        <w:t>3)  dla jednostki kogeneracji, o której mowa w art. 9l ust. 1 pkt 2, na poziomie 23,2% w każdym roku, począwszy od 2014 r. do 2018 r.</w:t>
      </w:r>
    </w:p>
    <w:p w:rsidR="0037785A" w:rsidRDefault="0037785A" w:rsidP="0037785A">
      <w:pPr>
        <w:spacing w:before="100" w:beforeAutospacing="1" w:after="100" w:afterAutospacing="1" w:line="360" w:lineRule="auto"/>
        <w:jc w:val="both"/>
        <w:rPr>
          <w:lang w:eastAsia="pl-PL"/>
        </w:rPr>
      </w:pPr>
      <w:r w:rsidRPr="0037785A">
        <w:rPr>
          <w:lang w:eastAsia="pl-PL"/>
        </w:rPr>
        <w:t>12. Zakres obowiązku, o którym mowa w ust. 11, określa minimalny udział ilościowy sumy energii elektrycznej wynikającej z uzyskanych i umorzonych świadectw pochodzenia z kogeneracji lub z uiszczonej opłaty zastępczej, odniesiony do:</w:t>
      </w:r>
    </w:p>
    <w:p w:rsidR="0037785A" w:rsidRDefault="0037785A" w:rsidP="0037785A">
      <w:pPr>
        <w:spacing w:before="100" w:beforeAutospacing="1" w:after="100" w:afterAutospacing="1" w:line="360" w:lineRule="auto"/>
        <w:jc w:val="both"/>
        <w:rPr>
          <w:lang w:eastAsia="pl-PL"/>
        </w:rPr>
      </w:pPr>
      <w:r w:rsidRPr="0037785A">
        <w:rPr>
          <w:lang w:eastAsia="pl-PL"/>
        </w:rPr>
        <w:lastRenderedPageBreak/>
        <w:t>1)  dokonanego zakupu energii elektrycznej przez odbiorców przemysłowych, o których mowa w ust. 2 pkt 1;</w:t>
      </w:r>
    </w:p>
    <w:p w:rsidR="0037785A" w:rsidRDefault="0037785A" w:rsidP="0037785A">
      <w:pPr>
        <w:spacing w:before="100" w:beforeAutospacing="1" w:after="100" w:afterAutospacing="1" w:line="360" w:lineRule="auto"/>
        <w:jc w:val="both"/>
        <w:rPr>
          <w:lang w:eastAsia="pl-PL"/>
        </w:rPr>
      </w:pPr>
      <w:r w:rsidRPr="0037785A">
        <w:rPr>
          <w:lang w:eastAsia="pl-PL"/>
        </w:rPr>
        <w:t>2)  całkowitej sprzedaży energii elektrycznej odbiorcom końcowym niebędącym odbiorcami przemysłowymi, o których mowa w pkt 1, przez przedsiębiorstwo energetyczne wykonujące działalność gospodarczą w zakresie wytwarzania energii elektrycznej lub obrotu tą energią i sprzedające tą energię odbiorcom końcowym;</w:t>
      </w:r>
    </w:p>
    <w:p w:rsidR="0037785A" w:rsidRDefault="0037785A" w:rsidP="0037785A">
      <w:pPr>
        <w:spacing w:before="100" w:beforeAutospacing="1" w:after="100" w:afterAutospacing="1" w:line="360" w:lineRule="auto"/>
        <w:jc w:val="both"/>
        <w:rPr>
          <w:lang w:eastAsia="pl-PL"/>
        </w:rPr>
      </w:pPr>
      <w:r w:rsidRPr="0037785A">
        <w:rPr>
          <w:lang w:eastAsia="pl-PL"/>
        </w:rPr>
        <w:t>3)  dokonanego zakupu energii elektrycznej na giełdzie towarowej lub na rynku organizowanym przez podmiot prowadzący na terytorium Rzeczypospolitej Polskiej rynek regulowany w transakcjach zawieranych we własnym imieniu przez odbiorców końcowych, o których mowa w ust. 2 pkt 3;</w:t>
      </w:r>
    </w:p>
    <w:p w:rsidR="0037785A" w:rsidRDefault="0037785A" w:rsidP="0037785A">
      <w:pPr>
        <w:spacing w:before="100" w:beforeAutospacing="1" w:after="100" w:afterAutospacing="1" w:line="360" w:lineRule="auto"/>
        <w:jc w:val="both"/>
        <w:rPr>
          <w:lang w:eastAsia="pl-PL"/>
        </w:rPr>
      </w:pPr>
      <w:r w:rsidRPr="0037785A">
        <w:rPr>
          <w:lang w:eastAsia="pl-PL"/>
        </w:rPr>
        <w:t>4)  dokonanego zakupu energii elektrycznej przez towarowy dom maklerski lub dom maklerski, o których mowa w art. 2 pkt 8 i 9 ustawy z dnia 26 października 2000 r. o giełdach towarowych, w odniesieniu do transakcji zawieranych na zlecenie odbiorców końcowych, innych niż odbiorcy przemysłowi, o których mowa w pkt 1.</w:t>
      </w:r>
    </w:p>
    <w:p w:rsidR="0037785A" w:rsidRDefault="0037785A" w:rsidP="0037785A">
      <w:pPr>
        <w:spacing w:before="100" w:beforeAutospacing="1" w:after="100" w:afterAutospacing="1" w:line="360" w:lineRule="auto"/>
        <w:jc w:val="both"/>
        <w:rPr>
          <w:lang w:eastAsia="pl-PL"/>
        </w:rPr>
      </w:pPr>
      <w:r w:rsidRPr="0037785A">
        <w:rPr>
          <w:lang w:eastAsia="pl-PL"/>
        </w:rPr>
        <w:t xml:space="preserve">13. Prezes Urzędu Regulacji Energetyki ustala jednostkowe opłaty zastępcze oznaczone symbolami </w:t>
      </w:r>
      <w:proofErr w:type="spellStart"/>
      <w:r w:rsidRPr="0037785A">
        <w:rPr>
          <w:lang w:eastAsia="pl-PL"/>
        </w:rPr>
        <w:t>Ozg</w:t>
      </w:r>
      <w:proofErr w:type="spellEnd"/>
      <w:r w:rsidRPr="0037785A">
        <w:rPr>
          <w:lang w:eastAsia="pl-PL"/>
        </w:rPr>
        <w:t xml:space="preserve">, </w:t>
      </w:r>
      <w:proofErr w:type="spellStart"/>
      <w:r w:rsidRPr="0037785A">
        <w:rPr>
          <w:lang w:eastAsia="pl-PL"/>
        </w:rPr>
        <w:t>Ozk</w:t>
      </w:r>
      <w:proofErr w:type="spellEnd"/>
      <w:r w:rsidRPr="0037785A">
        <w:rPr>
          <w:lang w:eastAsia="pl-PL"/>
        </w:rPr>
        <w:t xml:space="preserve"> i </w:t>
      </w:r>
      <w:proofErr w:type="spellStart"/>
      <w:r w:rsidRPr="0037785A">
        <w:rPr>
          <w:lang w:eastAsia="pl-PL"/>
        </w:rPr>
        <w:t>Ozm</w:t>
      </w:r>
      <w:proofErr w:type="spellEnd"/>
      <w:r w:rsidRPr="0037785A">
        <w:rPr>
          <w:lang w:eastAsia="pl-PL"/>
        </w:rPr>
        <w:t>, o których mowa w ust. 10, na podstawie średniej ceny sprzedaży energii elektrycznej na rynku konkurencyjnym, o której mowa w art. 23 ust. 2 pkt 18 lit. b, z roku poprzedzającego rok ustalenia jednostkowych opłat zastępczych, biorąc pod uwagę:</w:t>
      </w:r>
    </w:p>
    <w:p w:rsidR="0037785A" w:rsidRDefault="0037785A" w:rsidP="0037785A">
      <w:pPr>
        <w:spacing w:before="100" w:beforeAutospacing="1" w:after="100" w:afterAutospacing="1" w:line="360" w:lineRule="auto"/>
        <w:jc w:val="both"/>
        <w:rPr>
          <w:lang w:eastAsia="pl-PL"/>
        </w:rPr>
      </w:pPr>
      <w:r w:rsidRPr="0037785A">
        <w:rPr>
          <w:lang w:eastAsia="pl-PL"/>
        </w:rPr>
        <w:t>1)  ilość energii elektrycznej z wysokosprawnej kogeneracji;</w:t>
      </w:r>
    </w:p>
    <w:p w:rsidR="0037785A" w:rsidRDefault="0037785A" w:rsidP="0037785A">
      <w:pPr>
        <w:spacing w:before="100" w:beforeAutospacing="1" w:after="100" w:afterAutospacing="1" w:line="360" w:lineRule="auto"/>
        <w:jc w:val="both"/>
        <w:rPr>
          <w:lang w:eastAsia="pl-PL"/>
        </w:rPr>
      </w:pPr>
      <w:r w:rsidRPr="0037785A">
        <w:rPr>
          <w:lang w:eastAsia="pl-PL"/>
        </w:rPr>
        <w:t>2)  różnicę między kosztami wytwarzania energii elektrycznej w wysokosprawnej kogeneracji a cenami sprzedaży energii elektrycznej na rynku konkurencyjnym;</w:t>
      </w:r>
    </w:p>
    <w:p w:rsidR="0037785A" w:rsidRDefault="0037785A" w:rsidP="0037785A">
      <w:pPr>
        <w:spacing w:before="100" w:beforeAutospacing="1" w:after="100" w:afterAutospacing="1" w:line="360" w:lineRule="auto"/>
        <w:jc w:val="both"/>
        <w:rPr>
          <w:lang w:eastAsia="pl-PL"/>
        </w:rPr>
      </w:pPr>
      <w:r w:rsidRPr="0037785A">
        <w:rPr>
          <w:lang w:eastAsia="pl-PL"/>
        </w:rPr>
        <w:t>3)  poziom cen energii elektrycznej dla odbiorców końcowych;</w:t>
      </w:r>
    </w:p>
    <w:p w:rsidR="0037785A" w:rsidRDefault="0037785A" w:rsidP="0037785A">
      <w:pPr>
        <w:spacing w:before="100" w:beforeAutospacing="1" w:after="100" w:afterAutospacing="1" w:line="360" w:lineRule="auto"/>
        <w:jc w:val="both"/>
        <w:rPr>
          <w:lang w:eastAsia="pl-PL"/>
        </w:rPr>
      </w:pPr>
      <w:r w:rsidRPr="0037785A">
        <w:rPr>
          <w:lang w:eastAsia="pl-PL"/>
        </w:rPr>
        <w:t>4)  poziom zagospodarowania dostępnych ilości metanu uwalnianego i ujmowanego przy dołowych robotach górniczych w czynnych, likwidowanych lub zlikwidowanych kopalniach węgla kamiennego oraz gazu uzyskiwanego z przetwarzania biomasy w rozumieniu art. 2 pkt 3 ustawy wymienionej w art. 3 pkt 20.</w:t>
      </w:r>
    </w:p>
    <w:p w:rsidR="0037785A" w:rsidRDefault="0037785A" w:rsidP="0037785A">
      <w:pPr>
        <w:spacing w:before="100" w:beforeAutospacing="1" w:after="100" w:afterAutospacing="1" w:line="360" w:lineRule="auto"/>
        <w:jc w:val="both"/>
        <w:rPr>
          <w:lang w:eastAsia="pl-PL"/>
        </w:rPr>
      </w:pPr>
      <w:r w:rsidRPr="0037785A">
        <w:rPr>
          <w:lang w:eastAsia="pl-PL"/>
        </w:rPr>
        <w:lastRenderedPageBreak/>
        <w:t xml:space="preserve">14. Prezes Urzędu Regulacji Energetyki ogłasza w Biuletynie Urzędu Regulacji Energetyki jednostkowe opłaty zastępcze oznaczone symbolami </w:t>
      </w:r>
      <w:proofErr w:type="spellStart"/>
      <w:r w:rsidRPr="0037785A">
        <w:rPr>
          <w:lang w:eastAsia="pl-PL"/>
        </w:rPr>
        <w:t>Ozg</w:t>
      </w:r>
      <w:proofErr w:type="spellEnd"/>
      <w:r w:rsidRPr="0037785A">
        <w:rPr>
          <w:lang w:eastAsia="pl-PL"/>
        </w:rPr>
        <w:t xml:space="preserve">, </w:t>
      </w:r>
      <w:proofErr w:type="spellStart"/>
      <w:r w:rsidRPr="0037785A">
        <w:rPr>
          <w:lang w:eastAsia="pl-PL"/>
        </w:rPr>
        <w:t>Ozk</w:t>
      </w:r>
      <w:proofErr w:type="spellEnd"/>
      <w:r w:rsidRPr="0037785A">
        <w:rPr>
          <w:lang w:eastAsia="pl-PL"/>
        </w:rPr>
        <w:t xml:space="preserve"> i </w:t>
      </w:r>
      <w:proofErr w:type="spellStart"/>
      <w:r w:rsidRPr="0037785A">
        <w:rPr>
          <w:lang w:eastAsia="pl-PL"/>
        </w:rPr>
        <w:t>Ozm</w:t>
      </w:r>
      <w:proofErr w:type="spellEnd"/>
      <w:r w:rsidRPr="0037785A">
        <w:rPr>
          <w:lang w:eastAsia="pl-PL"/>
        </w:rPr>
        <w:t>, o których mowa w ust. 10, do dnia 31 maja każdego roku, obowiązujące w roku następnym.</w:t>
      </w:r>
    </w:p>
    <w:p w:rsidR="0037785A" w:rsidRDefault="0037785A" w:rsidP="0037785A">
      <w:pPr>
        <w:spacing w:before="100" w:beforeAutospacing="1" w:after="100" w:afterAutospacing="1" w:line="360" w:lineRule="auto"/>
        <w:jc w:val="both"/>
        <w:rPr>
          <w:lang w:eastAsia="pl-PL"/>
        </w:rPr>
      </w:pPr>
      <w:r w:rsidRPr="0037785A">
        <w:rPr>
          <w:lang w:eastAsia="pl-PL"/>
        </w:rPr>
        <w:t>15. Opłata zastępcza, o której mowa w ust. 1 pkt 2, stanowi przychód Narodowego Funduszu Ochrony Środowiska i Gospodarki Wodnej i jest uiszczana na rachunek bankowy tego funduszu do dnia 30 czerwca każdego roku, za poprzedni rok kalendarzowy.</w:t>
      </w:r>
    </w:p>
    <w:p w:rsidR="0037785A" w:rsidRDefault="0037785A" w:rsidP="0037785A">
      <w:pPr>
        <w:spacing w:before="100" w:beforeAutospacing="1" w:after="100" w:afterAutospacing="1" w:line="360" w:lineRule="auto"/>
        <w:jc w:val="both"/>
        <w:rPr>
          <w:lang w:eastAsia="pl-PL"/>
        </w:rPr>
      </w:pPr>
      <w:r w:rsidRPr="0037785A">
        <w:rPr>
          <w:lang w:eastAsia="pl-PL"/>
        </w:rPr>
        <w:t>16.    Minister właściwy do spraw energii określi, w drodze rozporządzenia, sposób obliczania danych podanych we wniosku o wydanie świadectwa pochodzenia z kogeneracji, o którym mowa w art. 9l ust. 1, oraz szczegółowy zakres obowiązku potwierdzania danych, o których mowa w art. 9l ust. 8, w tym:</w:t>
      </w:r>
    </w:p>
    <w:p w:rsidR="0037785A" w:rsidRDefault="0037785A" w:rsidP="0037785A">
      <w:pPr>
        <w:spacing w:before="100" w:beforeAutospacing="1" w:after="100" w:afterAutospacing="1" w:line="360" w:lineRule="auto"/>
        <w:jc w:val="both"/>
        <w:rPr>
          <w:lang w:eastAsia="pl-PL"/>
        </w:rPr>
      </w:pPr>
      <w:r w:rsidRPr="0037785A">
        <w:rPr>
          <w:lang w:eastAsia="pl-PL"/>
        </w:rPr>
        <w:t>1)  sposób obliczania:</w:t>
      </w:r>
    </w:p>
    <w:p w:rsidR="0037785A" w:rsidRDefault="0037785A" w:rsidP="0037785A">
      <w:pPr>
        <w:spacing w:before="100" w:beforeAutospacing="1" w:after="100" w:afterAutospacing="1" w:line="360" w:lineRule="auto"/>
        <w:jc w:val="both"/>
        <w:rPr>
          <w:lang w:eastAsia="pl-PL"/>
        </w:rPr>
      </w:pPr>
      <w:r w:rsidRPr="0037785A">
        <w:rPr>
          <w:lang w:eastAsia="pl-PL"/>
        </w:rPr>
        <w:t>a)  średniorocznej sprawności przemiany energii chemicznej paliwa w energię elektryczną lub mechaniczną i ciepło użytkowe w kogeneracji,</w:t>
      </w:r>
    </w:p>
    <w:p w:rsidR="0037785A" w:rsidRDefault="0037785A" w:rsidP="0037785A">
      <w:pPr>
        <w:spacing w:before="100" w:beforeAutospacing="1" w:after="100" w:afterAutospacing="1" w:line="360" w:lineRule="auto"/>
        <w:jc w:val="both"/>
        <w:rPr>
          <w:lang w:eastAsia="pl-PL"/>
        </w:rPr>
      </w:pPr>
      <w:r w:rsidRPr="0037785A">
        <w:rPr>
          <w:lang w:eastAsia="pl-PL"/>
        </w:rPr>
        <w:t>b)  ilości energii elektrycznej z wysokosprawnej kogeneracji,</w:t>
      </w:r>
    </w:p>
    <w:p w:rsidR="0037785A" w:rsidRDefault="0037785A" w:rsidP="0037785A">
      <w:pPr>
        <w:spacing w:before="100" w:beforeAutospacing="1" w:after="100" w:afterAutospacing="1" w:line="360" w:lineRule="auto"/>
        <w:jc w:val="both"/>
        <w:rPr>
          <w:lang w:eastAsia="pl-PL"/>
        </w:rPr>
      </w:pPr>
      <w:r w:rsidRPr="0037785A">
        <w:rPr>
          <w:lang w:eastAsia="pl-PL"/>
        </w:rPr>
        <w:t>c)  ilości ciepła użytkowego w kogeneracji,</w:t>
      </w:r>
    </w:p>
    <w:p w:rsidR="0037785A" w:rsidRDefault="0037785A" w:rsidP="0037785A">
      <w:pPr>
        <w:spacing w:before="100" w:beforeAutospacing="1" w:after="100" w:afterAutospacing="1" w:line="360" w:lineRule="auto"/>
        <w:jc w:val="both"/>
        <w:rPr>
          <w:lang w:eastAsia="pl-PL"/>
        </w:rPr>
      </w:pPr>
      <w:r>
        <w:rPr>
          <w:lang w:eastAsia="pl-PL"/>
        </w:rPr>
        <w:t>d)</w:t>
      </w:r>
      <w:r w:rsidRPr="0037785A">
        <w:rPr>
          <w:lang w:eastAsia="pl-PL"/>
        </w:rPr>
        <w:t xml:space="preserve"> oszczędności energii pierwotnej uzyskanej w wyniku zastosowania kogeneracji w porównaniu z wytwarzaniem energii elektrycznej i ciepła w układach rozdzielonych o referencyjnych wartościach sprawności dla wytwarzania rozdzielonego,</w:t>
      </w:r>
    </w:p>
    <w:p w:rsidR="0037785A" w:rsidRDefault="0037785A" w:rsidP="0037785A">
      <w:pPr>
        <w:spacing w:before="100" w:beforeAutospacing="1" w:after="100" w:afterAutospacing="1" w:line="360" w:lineRule="auto"/>
        <w:jc w:val="both"/>
        <w:rPr>
          <w:lang w:eastAsia="pl-PL"/>
        </w:rPr>
      </w:pPr>
      <w:r w:rsidRPr="0037785A">
        <w:rPr>
          <w:lang w:eastAsia="pl-PL"/>
        </w:rPr>
        <w:t>2)  sposoby wykorzystania ciepła użytkowego w kogeneracji przyjmowanego do obliczania danych podanych we wniosku o wydanie świadectwa pochodzenia z kogeneracji, o którym mowa w art. 9l ust. 1,</w:t>
      </w:r>
    </w:p>
    <w:p w:rsidR="0037785A" w:rsidRDefault="0037785A" w:rsidP="0037785A">
      <w:pPr>
        <w:spacing w:before="100" w:beforeAutospacing="1" w:after="100" w:afterAutospacing="1" w:line="360" w:lineRule="auto"/>
        <w:jc w:val="both"/>
        <w:rPr>
          <w:lang w:eastAsia="pl-PL"/>
        </w:rPr>
      </w:pPr>
      <w:r w:rsidRPr="0037785A">
        <w:rPr>
          <w:lang w:eastAsia="pl-PL"/>
        </w:rPr>
        <w:t>3)  referencyjne wartości sprawności dla wytwarzania rozdzielonego, oddzielnie dla energii elektrycznej i ciepła, służące do obliczania oszczędności energii pierwotnej uzyskanej w wyniku zastosowania kogeneracji,</w:t>
      </w:r>
    </w:p>
    <w:p w:rsidR="0037785A" w:rsidRDefault="0037785A" w:rsidP="0037785A">
      <w:pPr>
        <w:spacing w:before="100" w:beforeAutospacing="1" w:after="100" w:afterAutospacing="1" w:line="360" w:lineRule="auto"/>
        <w:jc w:val="both"/>
        <w:rPr>
          <w:lang w:eastAsia="pl-PL"/>
        </w:rPr>
      </w:pPr>
      <w:r w:rsidRPr="0037785A">
        <w:rPr>
          <w:lang w:eastAsia="pl-PL"/>
        </w:rPr>
        <w:t>4)  wymagania dotyczące pomiarów ilości energii elektrycznej i ciepła użytkowego w jednostkach kogeneracji oraz ilości paliw zużywanych do ich wytwarzania, w tym na potrzeby realizacji obowiązku potwierdzania danych, o którym mowa w art. 9l ust. 8,</w:t>
      </w:r>
    </w:p>
    <w:p w:rsidR="0037785A" w:rsidRDefault="0037785A" w:rsidP="0037785A">
      <w:pPr>
        <w:spacing w:before="100" w:beforeAutospacing="1" w:after="100" w:afterAutospacing="1" w:line="360" w:lineRule="auto"/>
        <w:jc w:val="both"/>
        <w:rPr>
          <w:lang w:eastAsia="pl-PL"/>
        </w:rPr>
      </w:pPr>
      <w:r w:rsidRPr="0037785A">
        <w:rPr>
          <w:lang w:eastAsia="pl-PL"/>
        </w:rPr>
        <w:lastRenderedPageBreak/>
        <w:t>5)  wymagania dotyczące pomiarów, rejestracji i sposobu obliczania ilości energii elektrycznej i ciepła użytkowego wytwarzanej w wysokosprawnej kogeneracji w jednostkach kogeneracji, o których mowa w art. 9l ust. 1 i 1a, w tym wymagania dotyczące pomiarów bezpośrednich ilości energii elektrycznej i ciepła użytkowego oraz ilości paliw zużywanych do ich wytwarzania dokonywanych na potrzeby wydawania świadectw pochodzenia, o których mowa w art. 9l,</w:t>
      </w:r>
    </w:p>
    <w:p w:rsidR="0037785A" w:rsidRDefault="0037785A" w:rsidP="0037785A">
      <w:pPr>
        <w:spacing w:before="100" w:beforeAutospacing="1" w:after="100" w:afterAutospacing="1" w:line="360" w:lineRule="auto"/>
        <w:jc w:val="both"/>
        <w:rPr>
          <w:lang w:eastAsia="pl-PL"/>
        </w:rPr>
      </w:pPr>
      <w:r w:rsidRPr="0037785A">
        <w:rPr>
          <w:lang w:eastAsia="pl-PL"/>
        </w:rPr>
        <w:t>6)  maksymalną wysokość i sposób uwzględniania w kalkulacji cen energii elektrycznej ustalanych w taryfach przedsiębiorstw energetycznych, o których mowa w ust. 1:</w:t>
      </w:r>
    </w:p>
    <w:p w:rsidR="0037785A" w:rsidRDefault="0037785A" w:rsidP="0037785A">
      <w:pPr>
        <w:spacing w:before="100" w:beforeAutospacing="1" w:after="100" w:afterAutospacing="1" w:line="360" w:lineRule="auto"/>
        <w:jc w:val="both"/>
        <w:rPr>
          <w:lang w:eastAsia="pl-PL"/>
        </w:rPr>
      </w:pPr>
      <w:r w:rsidRPr="0037785A">
        <w:rPr>
          <w:lang w:eastAsia="pl-PL"/>
        </w:rPr>
        <w:t>a)  kosztów uzyskania i przedstawienia do umorzenia świadectw pochodzenia z kogeneracji, o których mowa w art. 9l ust. 1,</w:t>
      </w:r>
    </w:p>
    <w:p w:rsidR="0037785A" w:rsidRDefault="0037785A" w:rsidP="0037785A">
      <w:pPr>
        <w:spacing w:before="100" w:beforeAutospacing="1" w:after="100" w:afterAutospacing="1" w:line="360" w:lineRule="auto"/>
        <w:jc w:val="both"/>
        <w:rPr>
          <w:lang w:eastAsia="pl-PL"/>
        </w:rPr>
      </w:pPr>
      <w:r w:rsidRPr="0037785A">
        <w:rPr>
          <w:lang w:eastAsia="pl-PL"/>
        </w:rPr>
        <w:t>b)  poniesionej opłaty zastępczej, o której mowa w ust. 1 pkt 2</w:t>
      </w:r>
    </w:p>
    <w:p w:rsidR="0037785A" w:rsidRDefault="0037785A" w:rsidP="0037785A">
      <w:pPr>
        <w:spacing w:before="100" w:beforeAutospacing="1" w:after="100" w:afterAutospacing="1" w:line="360" w:lineRule="auto"/>
        <w:jc w:val="both"/>
        <w:rPr>
          <w:lang w:eastAsia="pl-PL"/>
        </w:rPr>
      </w:pPr>
      <w:r w:rsidRPr="0037785A">
        <w:rPr>
          <w:lang w:eastAsia="pl-PL"/>
        </w:rPr>
        <w:t>- biorąc pod uwagę politykę energetyczną państwa, zobowiązania wynikające z umów międzynarodowych oraz uzasadnione technicznie i ekonomicznie możliwości wykorzystania krajowego potencjału wysokosprawnej kogeneracji.</w:t>
      </w:r>
    </w:p>
    <w:p w:rsidR="00F0188F" w:rsidRDefault="00F0188F" w:rsidP="00F0188F">
      <w:pPr>
        <w:spacing w:line="360" w:lineRule="auto"/>
        <w:jc w:val="both"/>
      </w:pPr>
    </w:p>
    <w:p w:rsidR="00F0188F" w:rsidRDefault="00F0188F" w:rsidP="00F0188F">
      <w:pPr>
        <w:spacing w:before="0" w:line="360" w:lineRule="auto"/>
        <w:contextualSpacing/>
        <w:rPr>
          <w:b/>
        </w:rPr>
      </w:pPr>
      <w:r w:rsidRPr="00B524D0">
        <w:rPr>
          <w:b/>
        </w:rPr>
        <w:t>2. Proponowane brzmienie zmian legislacyjnych</w:t>
      </w:r>
    </w:p>
    <w:p w:rsidR="00F0188F" w:rsidRPr="00B524D0" w:rsidRDefault="00F0188F" w:rsidP="00F0188F">
      <w:pPr>
        <w:spacing w:before="0" w:line="360" w:lineRule="auto"/>
        <w:contextualSpacing/>
        <w:rPr>
          <w:b/>
        </w:rPr>
      </w:pPr>
    </w:p>
    <w:p w:rsidR="0037785A" w:rsidRPr="00F0188F" w:rsidRDefault="0037785A" w:rsidP="0037785A">
      <w:pPr>
        <w:spacing w:before="0" w:line="360" w:lineRule="auto"/>
        <w:contextualSpacing/>
        <w:jc w:val="both"/>
      </w:pPr>
      <w:r>
        <w:t xml:space="preserve">W ustawie z dnia 10 kwietnia 1997 r. Prawo energetyczne </w:t>
      </w:r>
      <w:r>
        <w:rPr>
          <w:lang w:eastAsia="pl-PL"/>
        </w:rPr>
        <w:t>a</w:t>
      </w:r>
      <w:r w:rsidRPr="00F0188F">
        <w:rPr>
          <w:lang w:eastAsia="pl-PL"/>
        </w:rPr>
        <w:t xml:space="preserve">rt. 9a </w:t>
      </w:r>
      <w:r>
        <w:rPr>
          <w:lang w:eastAsia="pl-PL"/>
        </w:rPr>
        <w:t>otrzymuje brzmienie:</w:t>
      </w:r>
    </w:p>
    <w:p w:rsidR="0037785A" w:rsidRPr="00F0188F" w:rsidRDefault="0037785A" w:rsidP="0037785A">
      <w:pPr>
        <w:spacing w:before="100" w:beforeAutospacing="1" w:after="100" w:afterAutospacing="1" w:line="360" w:lineRule="auto"/>
        <w:jc w:val="both"/>
        <w:rPr>
          <w:lang w:eastAsia="pl-PL"/>
        </w:rPr>
      </w:pPr>
      <w:bookmarkStart w:id="1" w:name="mip21181053"/>
      <w:bookmarkEnd w:id="1"/>
      <w:r>
        <w:rPr>
          <w:lang w:eastAsia="pl-PL"/>
        </w:rPr>
        <w:t xml:space="preserve">„Art. 9a. </w:t>
      </w:r>
      <w:r w:rsidRPr="00F0188F">
        <w:rPr>
          <w:lang w:eastAsia="pl-PL"/>
        </w:rPr>
        <w:t xml:space="preserve">1. Odbiorca przemysłowy, przedsiębiorstwo energetyczne, odbiorca końcowy oraz towarowy dom maklerski lub dom maklerski, o których mowa w ust. 2, w zakresie określonym w przepisach wydanych na podstawie ust. 16, są obowiązani: </w:t>
      </w:r>
    </w:p>
    <w:p w:rsidR="0037785A" w:rsidRPr="00F0188F" w:rsidRDefault="0037785A" w:rsidP="0037785A">
      <w:pPr>
        <w:spacing w:before="100" w:beforeAutospacing="1" w:after="100" w:afterAutospacing="1" w:line="360" w:lineRule="auto"/>
        <w:jc w:val="both"/>
        <w:rPr>
          <w:lang w:eastAsia="pl-PL"/>
        </w:rPr>
      </w:pPr>
      <w:bookmarkStart w:id="2" w:name="mip21181055"/>
      <w:bookmarkEnd w:id="2"/>
      <w:r w:rsidRPr="00F0188F">
        <w:rPr>
          <w:lang w:eastAsia="pl-PL"/>
        </w:rPr>
        <w:t xml:space="preserve">1) uzyskać i przedstawić do umorzenia Prezesowi Urzędu Regulacji Energetyki świadectwo pochodzenia z kogeneracji, o którym mowa w art. 9l ust. 1, wydane dla energii elektrycznej wytworzonej w jednostkach kogeneracji znajdujących się na terytorium Rzeczypospolitej Polskiej lub </w:t>
      </w:r>
    </w:p>
    <w:p w:rsidR="0037785A" w:rsidRPr="00F0188F" w:rsidRDefault="0037785A" w:rsidP="0037785A">
      <w:pPr>
        <w:spacing w:before="100" w:beforeAutospacing="1" w:after="100" w:afterAutospacing="1" w:line="360" w:lineRule="auto"/>
        <w:jc w:val="both"/>
        <w:rPr>
          <w:lang w:eastAsia="pl-PL"/>
        </w:rPr>
      </w:pPr>
      <w:bookmarkStart w:id="3" w:name="mip21181056"/>
      <w:bookmarkEnd w:id="3"/>
      <w:r w:rsidRPr="00F0188F">
        <w:rPr>
          <w:lang w:eastAsia="pl-PL"/>
        </w:rPr>
        <w:t xml:space="preserve">2) uiścić opłatę zastępczą, w terminie określonym w ust. 15, obliczoną w sposób określony w ust. 10. </w:t>
      </w:r>
    </w:p>
    <w:p w:rsidR="0037785A" w:rsidRPr="00F0188F" w:rsidRDefault="0037785A" w:rsidP="0037785A">
      <w:pPr>
        <w:spacing w:before="100" w:beforeAutospacing="1" w:after="100" w:afterAutospacing="1" w:line="360" w:lineRule="auto"/>
        <w:jc w:val="both"/>
        <w:rPr>
          <w:lang w:eastAsia="pl-PL"/>
        </w:rPr>
      </w:pPr>
      <w:bookmarkStart w:id="4" w:name="mip21181065"/>
      <w:bookmarkEnd w:id="4"/>
      <w:r w:rsidRPr="00F0188F">
        <w:rPr>
          <w:lang w:eastAsia="pl-PL"/>
        </w:rPr>
        <w:t xml:space="preserve">2. Obowiązek, o którym mowa w ust. 1, wykonują: </w:t>
      </w:r>
    </w:p>
    <w:p w:rsidR="0037785A" w:rsidRPr="00F0188F" w:rsidRDefault="0037785A" w:rsidP="0037785A">
      <w:pPr>
        <w:spacing w:before="100" w:beforeAutospacing="1" w:after="100" w:afterAutospacing="1" w:line="360" w:lineRule="auto"/>
        <w:jc w:val="both"/>
        <w:rPr>
          <w:lang w:eastAsia="pl-PL"/>
        </w:rPr>
      </w:pPr>
      <w:bookmarkStart w:id="5" w:name="mip30738008"/>
      <w:bookmarkEnd w:id="5"/>
      <w:r w:rsidRPr="00F0188F">
        <w:rPr>
          <w:lang w:eastAsia="pl-PL"/>
        </w:rPr>
        <w:lastRenderedPageBreak/>
        <w:t xml:space="preserve">1) odbiorca przemysłowy, który w roku kalendarzowym poprzedzającym rok realizacji tego obowiązku zużył nie mniej niż 100 </w:t>
      </w:r>
      <w:proofErr w:type="spellStart"/>
      <w:r w:rsidRPr="00F0188F">
        <w:rPr>
          <w:lang w:eastAsia="pl-PL"/>
        </w:rPr>
        <w:t>GWh</w:t>
      </w:r>
      <w:proofErr w:type="spellEnd"/>
      <w:r w:rsidRPr="00F0188F">
        <w:rPr>
          <w:lang w:eastAsia="pl-PL"/>
        </w:rPr>
        <w:t xml:space="preserve"> energii elektrycznej oraz złożył oświadczenie, o którym mowa w ust. 3; </w:t>
      </w:r>
    </w:p>
    <w:p w:rsidR="0037785A" w:rsidRPr="00F0188F" w:rsidRDefault="0037785A" w:rsidP="0037785A">
      <w:pPr>
        <w:spacing w:before="100" w:beforeAutospacing="1" w:after="100" w:afterAutospacing="1" w:line="360" w:lineRule="auto"/>
        <w:jc w:val="both"/>
        <w:rPr>
          <w:lang w:eastAsia="pl-PL"/>
        </w:rPr>
      </w:pPr>
      <w:bookmarkStart w:id="6" w:name="mip30738009"/>
      <w:bookmarkEnd w:id="6"/>
      <w:r w:rsidRPr="00F0188F">
        <w:rPr>
          <w:lang w:eastAsia="pl-PL"/>
        </w:rPr>
        <w:t xml:space="preserve">2) przedsiębiorstwo energetyczne wykonujące działalność gospodarczą w zakresie wytwarzania energii elektrycznej lub obrotu tą energią i sprzedające tę energię odbiorcom końcowym niebędących odbiorcami przemysłowymi, o których mowa w pkt 1; </w:t>
      </w:r>
    </w:p>
    <w:p w:rsidR="0037785A" w:rsidRPr="00F0188F" w:rsidRDefault="0037785A" w:rsidP="0037785A">
      <w:pPr>
        <w:spacing w:before="100" w:beforeAutospacing="1" w:after="100" w:afterAutospacing="1" w:line="360" w:lineRule="auto"/>
        <w:jc w:val="both"/>
        <w:rPr>
          <w:lang w:eastAsia="pl-PL"/>
        </w:rPr>
      </w:pPr>
      <w:bookmarkStart w:id="7" w:name="mip30738010"/>
      <w:bookmarkEnd w:id="7"/>
      <w:r w:rsidRPr="00F0188F">
        <w:rPr>
          <w:lang w:eastAsia="pl-PL"/>
        </w:rPr>
        <w:t xml:space="preserve">3) odbiorca końcowy, inny niż odbiorca przemysłowy, o którym mowa w pkt 1, będący członkiem giełdy w rozumieniu art. 2 pkt 5 ustawy z dnia 26 października 2000 r. o giełdach towarowych lub członkiem rynku organizowanego przez podmiot prowadzący na terytorium Rzeczypospolitej Polskiej rynek regulowany, w odniesieniu do transakcji zawieranych we własnym imieniu na giełdzie towarowej lub na rynku organizowanym przez ten podmiot; </w:t>
      </w:r>
    </w:p>
    <w:p w:rsidR="0037785A" w:rsidRPr="00F0188F" w:rsidRDefault="0037785A" w:rsidP="0037785A">
      <w:pPr>
        <w:spacing w:before="100" w:beforeAutospacing="1" w:after="100" w:afterAutospacing="1" w:line="360" w:lineRule="auto"/>
        <w:jc w:val="both"/>
        <w:rPr>
          <w:lang w:eastAsia="pl-PL"/>
        </w:rPr>
      </w:pPr>
      <w:bookmarkStart w:id="8" w:name="mip30738011"/>
      <w:bookmarkEnd w:id="8"/>
      <w:r w:rsidRPr="00F0188F">
        <w:rPr>
          <w:lang w:eastAsia="pl-PL"/>
        </w:rPr>
        <w:t xml:space="preserve">4) odbiorca końcowy, inny niż odbiorca przemysłowy, o którym mowa w pkt 1, będący członkiem giełdowej izby rozrachunkowej w rozumieniu ustawy z dnia 26 października 2000 r. o giełdach towarowych, w odniesieniu do transakcji zawieranych przez niego poza giełdą towarową lub rynkiem, o których mowa w pkt 3, będących przedmiotem rozliczeń prowadzonych w ramach tej izby przez spółkę prowadzącą giełdową izbę rozrachunkową, przez Krajowy Depozyt Papierów Wartościowych S.A. lub przez spółkę, której Krajowy Depozyt Papierów Wartościowych S.A. przekazał wykonywanie czynności z zakresu zadań, o których mowa w art. 48 ust. 2 ustawy z dnia 29 lipca 2005 r. o obrocie instrumentami finansowymi; </w:t>
      </w:r>
    </w:p>
    <w:p w:rsidR="0037785A" w:rsidRPr="00F0188F" w:rsidRDefault="0037785A" w:rsidP="0037785A">
      <w:pPr>
        <w:spacing w:before="100" w:beforeAutospacing="1" w:after="100" w:afterAutospacing="1" w:line="360" w:lineRule="auto"/>
        <w:jc w:val="both"/>
        <w:rPr>
          <w:lang w:eastAsia="pl-PL"/>
        </w:rPr>
      </w:pPr>
      <w:bookmarkStart w:id="9" w:name="mip30738012"/>
      <w:bookmarkEnd w:id="9"/>
      <w:r w:rsidRPr="00F0188F">
        <w:rPr>
          <w:lang w:eastAsia="pl-PL"/>
        </w:rPr>
        <w:t xml:space="preserve">5) towarowy dom maklerski lub dom maklerski, o których mowa w art. 2 pkt 8 i 9 ustawy z dnia 26 października 2000 r. o giełdach towarowych, w odniesieniu do transakcji zawieranych na zlecenie odbiorców końcowych, innych niż odbiorcy przemysłowi, o których mowa w pkt 1, na giełdzie towarowej lub na rynku organizowanym przez podmiot prowadzący na terytorium Rzeczypospolitej Polskiej rynek regulowany. </w:t>
      </w:r>
    </w:p>
    <w:p w:rsidR="0037785A" w:rsidRPr="00F0188F" w:rsidRDefault="0037785A" w:rsidP="0037785A">
      <w:pPr>
        <w:spacing w:before="100" w:beforeAutospacing="1" w:after="100" w:afterAutospacing="1" w:line="360" w:lineRule="auto"/>
        <w:jc w:val="both"/>
        <w:rPr>
          <w:lang w:eastAsia="pl-PL"/>
        </w:rPr>
      </w:pPr>
      <w:bookmarkStart w:id="10" w:name="mip21181066"/>
      <w:bookmarkEnd w:id="10"/>
      <w:r w:rsidRPr="00F0188F">
        <w:rPr>
          <w:lang w:eastAsia="pl-PL"/>
        </w:rPr>
        <w:t xml:space="preserve">3. Odbiorca przemysłowy składa Prezesowi Urzędu Regulacji Energetyki oświadczenie potwierdzające: </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1) wykonywanie działalności gospodarczej oznaczonej kodami Polskiej Klasyfikacji Działalności (PKD), o których mowa w ust. 6,</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lastRenderedPageBreak/>
        <w:t>2) ilość zużytej energii elektrycznej oraz ilość energii elektrycznej zakupionej na własny użytek w roku kalendarzowym poprzedzającym rok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3) wartość współczynnika intensywności zużycia energii elektrycznej,</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4) ilość energii elektrycznej objętej obowiązkiem, o którym mowa w ust. 1, wyrażoną w procentach</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 wraz z opinią biegłego rewidenta potwierdzającą prawidłowość wyliczenia wartości współczynnika intensywności zużycia energii elektrycznej, w terminie do dnia 30 listopada roku poprzedzającego rok realizacji obowiązku, o którym mowa w ust. 1.</w:t>
      </w:r>
    </w:p>
    <w:p w:rsidR="0037785A" w:rsidRPr="00F0188F" w:rsidRDefault="0037785A" w:rsidP="0037785A">
      <w:pPr>
        <w:spacing w:before="100" w:beforeAutospacing="1" w:after="100" w:afterAutospacing="1" w:line="360" w:lineRule="auto"/>
        <w:jc w:val="both"/>
        <w:rPr>
          <w:lang w:eastAsia="pl-PL"/>
        </w:rPr>
      </w:pPr>
      <w:bookmarkStart w:id="11" w:name="mip21181067"/>
      <w:bookmarkEnd w:id="11"/>
      <w:r w:rsidRPr="00F0188F">
        <w:rPr>
          <w:lang w:eastAsia="pl-PL"/>
        </w:rPr>
        <w:t>4. Prezes Urzędu Regulacji Energetyki sporządza wykaz odbiorców przemysłowych, którzy złożyli oświadczenie, o którym mowa w ust. 3, i ogłasza go w Biuletynie Informacji Publicznej Urzędu Regulacji Energetyki, w terminie do dnia 31 grudnia roku poprzedzającego rok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 xml:space="preserve"> 4a. Informacja zawiera:</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1) nazwę i adres siedziby odbiorcy przemysłowego;</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2) numer w rejestrze przedsiębiorców w Krajowym Rejestrze Sądowym lub Numer    Identyfikacji Podatkowej (NIP);</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3) dane dotyczące ilości energii elektrycznej objętej obowiązkiem, o którym mowa w ust. 1, wyrażonej w procentach;</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4) wskazanie, czy dany odbiorca przemysłowy jest odbiorcą przemysłowym, o którym mowa w ust. 2 pkt 1.</w:t>
      </w:r>
    </w:p>
    <w:p w:rsidR="0037785A" w:rsidRPr="00F0188F" w:rsidRDefault="0037785A" w:rsidP="0037785A">
      <w:pPr>
        <w:spacing w:before="100" w:beforeAutospacing="1" w:after="100" w:afterAutospacing="1" w:line="360" w:lineRule="auto"/>
        <w:jc w:val="both"/>
        <w:rPr>
          <w:lang w:eastAsia="pl-PL"/>
        </w:rPr>
      </w:pPr>
      <w:bookmarkStart w:id="12" w:name="mip21181068"/>
      <w:bookmarkEnd w:id="12"/>
      <w:r w:rsidRPr="00F0188F">
        <w:rPr>
          <w:lang w:eastAsia="pl-PL"/>
        </w:rPr>
        <w:t>5. Odbiorca przemysłowy</w:t>
      </w:r>
      <w:r>
        <w:rPr>
          <w:b/>
          <w:lang w:eastAsia="pl-PL"/>
        </w:rPr>
        <w:t>, który złożył oświadczenie, o którym mowa w ust. 3, jest obowiązany</w:t>
      </w:r>
      <w:r w:rsidRPr="00F0188F">
        <w:rPr>
          <w:lang w:eastAsia="pl-PL"/>
        </w:rPr>
        <w:t xml:space="preserve"> w terminie do dnia 31 sierpnia roku następującego po roku realizacji obowiązku, przekaz</w:t>
      </w:r>
      <w:r>
        <w:rPr>
          <w:lang w:eastAsia="pl-PL"/>
        </w:rPr>
        <w:t>ać</w:t>
      </w:r>
      <w:r w:rsidRPr="00F0188F">
        <w:rPr>
          <w:lang w:eastAsia="pl-PL"/>
        </w:rPr>
        <w:t xml:space="preserve"> Prezesowi Urzędu Regulacji Energetyki: </w:t>
      </w:r>
    </w:p>
    <w:p w:rsidR="0037785A" w:rsidRDefault="0037785A" w:rsidP="0037785A">
      <w:pPr>
        <w:spacing w:before="100" w:beforeAutospacing="1" w:after="100" w:afterAutospacing="1" w:line="360" w:lineRule="auto"/>
        <w:jc w:val="both"/>
        <w:rPr>
          <w:b/>
          <w:lang w:eastAsia="pl-PL"/>
        </w:rPr>
      </w:pPr>
      <w:bookmarkStart w:id="13" w:name="mip27537320"/>
      <w:bookmarkEnd w:id="13"/>
      <w:r w:rsidRPr="00F0188F">
        <w:rPr>
          <w:b/>
          <w:lang w:eastAsia="pl-PL"/>
        </w:rPr>
        <w:t xml:space="preserve">1) </w:t>
      </w:r>
      <w:r>
        <w:rPr>
          <w:b/>
          <w:lang w:eastAsia="pl-PL"/>
        </w:rPr>
        <w:t>i</w:t>
      </w:r>
      <w:r w:rsidRPr="00F0188F">
        <w:rPr>
          <w:b/>
          <w:lang w:eastAsia="pl-PL"/>
        </w:rPr>
        <w:t>nformację o</w:t>
      </w:r>
      <w:r>
        <w:rPr>
          <w:b/>
          <w:lang w:eastAsia="pl-PL"/>
        </w:rPr>
        <w:t>:</w:t>
      </w:r>
      <w:r w:rsidRPr="00F0188F">
        <w:rPr>
          <w:b/>
          <w:lang w:eastAsia="pl-PL"/>
        </w:rPr>
        <w:t xml:space="preserve"> </w:t>
      </w:r>
    </w:p>
    <w:p w:rsidR="0037785A" w:rsidRPr="00F0188F" w:rsidRDefault="0037785A" w:rsidP="0037785A">
      <w:pPr>
        <w:spacing w:before="100" w:beforeAutospacing="1" w:after="100" w:afterAutospacing="1" w:line="360" w:lineRule="auto"/>
        <w:jc w:val="both"/>
        <w:rPr>
          <w:b/>
          <w:lang w:eastAsia="pl-PL"/>
        </w:rPr>
      </w:pPr>
      <w:r>
        <w:rPr>
          <w:b/>
          <w:lang w:eastAsia="pl-PL"/>
        </w:rPr>
        <w:t xml:space="preserve">a) </w:t>
      </w:r>
      <w:r w:rsidRPr="00F0188F">
        <w:rPr>
          <w:b/>
          <w:lang w:eastAsia="pl-PL"/>
        </w:rPr>
        <w:t xml:space="preserve">ilości zakupionej energii elektrycznej na własny użytek w roku realizacji obowiązku; </w:t>
      </w:r>
      <w:bookmarkStart w:id="14" w:name="mip27537321"/>
      <w:bookmarkEnd w:id="14"/>
    </w:p>
    <w:p w:rsidR="0037785A" w:rsidRPr="00F0188F" w:rsidRDefault="0037785A" w:rsidP="0037785A">
      <w:pPr>
        <w:spacing w:before="100" w:beforeAutospacing="1" w:after="100" w:afterAutospacing="1" w:line="360" w:lineRule="auto"/>
        <w:jc w:val="both"/>
        <w:rPr>
          <w:b/>
          <w:lang w:eastAsia="pl-PL"/>
        </w:rPr>
      </w:pPr>
      <w:r>
        <w:rPr>
          <w:b/>
          <w:lang w:eastAsia="pl-PL"/>
        </w:rPr>
        <w:lastRenderedPageBreak/>
        <w:t>b</w:t>
      </w:r>
      <w:r w:rsidRPr="00F0188F">
        <w:rPr>
          <w:b/>
          <w:lang w:eastAsia="pl-PL"/>
        </w:rPr>
        <w:t>) spełnianiu warunków, o których mowa w ust. 17,</w:t>
      </w:r>
    </w:p>
    <w:p w:rsidR="0037785A" w:rsidRPr="00F0188F" w:rsidRDefault="0037785A" w:rsidP="0037785A">
      <w:pPr>
        <w:spacing w:before="100" w:beforeAutospacing="1" w:after="100" w:afterAutospacing="1" w:line="360" w:lineRule="auto"/>
        <w:jc w:val="both"/>
        <w:rPr>
          <w:b/>
          <w:lang w:eastAsia="pl-PL"/>
        </w:rPr>
      </w:pPr>
      <w:r>
        <w:rPr>
          <w:b/>
          <w:lang w:eastAsia="pl-PL"/>
        </w:rPr>
        <w:t>c</w:t>
      </w:r>
      <w:r w:rsidRPr="00F0188F">
        <w:rPr>
          <w:b/>
          <w:lang w:eastAsia="pl-PL"/>
        </w:rPr>
        <w:t>) wykonaniu obowiązku, o którym mowa w ust. 1 - w przypadku odbiorców przemysłowych, o których mowa w ust. 2 pkt 1;</w:t>
      </w:r>
    </w:p>
    <w:p w:rsidR="0037785A" w:rsidRPr="00F0188F" w:rsidRDefault="0037785A" w:rsidP="0037785A">
      <w:pPr>
        <w:spacing w:before="100" w:beforeAutospacing="1" w:after="100" w:afterAutospacing="1" w:line="360" w:lineRule="auto"/>
        <w:jc w:val="both"/>
        <w:rPr>
          <w:b/>
          <w:vertAlign w:val="superscript"/>
          <w:lang w:eastAsia="pl-PL"/>
        </w:rPr>
      </w:pPr>
      <w:r>
        <w:rPr>
          <w:b/>
          <w:lang w:eastAsia="pl-PL"/>
        </w:rPr>
        <w:t>2</w:t>
      </w:r>
      <w:r w:rsidRPr="00F0188F">
        <w:rPr>
          <w:b/>
          <w:lang w:eastAsia="pl-PL"/>
        </w:rPr>
        <w:t xml:space="preserve">) oświadczenie następującej treści: </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 xml:space="preserve">"Świadomy odpowiedzialności karnej za złożenie fałszywego oświadczenia wynikającej z </w:t>
      </w:r>
      <w:hyperlink r:id="rId6" w:history="1">
        <w:r w:rsidRPr="00F0188F">
          <w:rPr>
            <w:b/>
            <w:lang w:eastAsia="pl-PL"/>
          </w:rPr>
          <w:t>art. 233 § 6</w:t>
        </w:r>
      </w:hyperlink>
      <w:r w:rsidRPr="00F0188F">
        <w:rPr>
          <w:b/>
          <w:lang w:eastAsia="pl-PL"/>
        </w:rPr>
        <w:t xml:space="preserve"> ustawy z dnia 6 czerwca 1997 r. - Kodeks karny oświadczam, że:</w:t>
      </w:r>
    </w:p>
    <w:p w:rsidR="0037785A" w:rsidRPr="00F0188F" w:rsidRDefault="0037785A" w:rsidP="0037785A">
      <w:pPr>
        <w:spacing w:before="100" w:beforeAutospacing="1" w:after="100" w:afterAutospacing="1" w:line="360" w:lineRule="auto"/>
        <w:jc w:val="both"/>
        <w:rPr>
          <w:b/>
          <w:lang w:eastAsia="pl-PL"/>
        </w:rPr>
      </w:pPr>
      <w:r>
        <w:rPr>
          <w:b/>
          <w:lang w:eastAsia="pl-PL"/>
        </w:rPr>
        <w:t>1</w:t>
      </w:r>
      <w:r w:rsidRPr="00F0188F">
        <w:rPr>
          <w:b/>
          <w:lang w:eastAsia="pl-PL"/>
        </w:rPr>
        <w:t xml:space="preserve">) dane zawarte w informacji, o której mowa w </w:t>
      </w:r>
      <w:hyperlink r:id="rId7" w:history="1">
        <w:r w:rsidRPr="00F0188F">
          <w:rPr>
            <w:b/>
            <w:lang w:eastAsia="pl-PL"/>
          </w:rPr>
          <w:t>art. 9a ust. 5 pkt 1</w:t>
        </w:r>
      </w:hyperlink>
      <w:r w:rsidRPr="00F0188F">
        <w:rPr>
          <w:b/>
          <w:lang w:eastAsia="pl-PL"/>
        </w:rPr>
        <w:t xml:space="preserve"> ustawy z dnia 10 kwietnia 1997 r. - </w:t>
      </w:r>
      <w:bookmarkStart w:id="15" w:name="highlightHit_33"/>
      <w:bookmarkEnd w:id="15"/>
      <w:r w:rsidRPr="00F0188F">
        <w:rPr>
          <w:b/>
          <w:lang w:eastAsia="pl-PL"/>
        </w:rPr>
        <w:t xml:space="preserve">Prawo </w:t>
      </w:r>
      <w:bookmarkStart w:id="16" w:name="highlightHit_34"/>
      <w:bookmarkEnd w:id="16"/>
      <w:r w:rsidRPr="00F0188F">
        <w:rPr>
          <w:b/>
          <w:lang w:eastAsia="pl-PL"/>
        </w:rPr>
        <w:t>energetyczne, są zgodne z prawdą;</w:t>
      </w:r>
    </w:p>
    <w:p w:rsidR="0037785A" w:rsidRPr="00F0188F" w:rsidRDefault="0037785A" w:rsidP="0037785A">
      <w:pPr>
        <w:spacing w:before="100" w:beforeAutospacing="1" w:after="100" w:afterAutospacing="1" w:line="360" w:lineRule="auto"/>
        <w:jc w:val="both"/>
        <w:rPr>
          <w:b/>
          <w:lang w:eastAsia="pl-PL"/>
        </w:rPr>
      </w:pPr>
      <w:r>
        <w:rPr>
          <w:b/>
          <w:lang w:eastAsia="pl-PL"/>
        </w:rPr>
        <w:t>2</w:t>
      </w:r>
      <w:r w:rsidRPr="00F0188F">
        <w:rPr>
          <w:b/>
          <w:lang w:eastAsia="pl-PL"/>
        </w:rPr>
        <w:t xml:space="preserve">) znane mi są i spełniam warunki określone w art. </w:t>
      </w:r>
      <w:r>
        <w:rPr>
          <w:b/>
          <w:lang w:eastAsia="pl-PL"/>
        </w:rPr>
        <w:t>9a ust. 17</w:t>
      </w:r>
      <w:r w:rsidRPr="00F0188F">
        <w:rPr>
          <w:b/>
          <w:lang w:eastAsia="pl-PL"/>
        </w:rPr>
        <w:t xml:space="preserve"> ustawy, o której mowa w pkt 1</w:t>
      </w:r>
      <w:r>
        <w:rPr>
          <w:b/>
          <w:lang w:eastAsia="pl-PL"/>
        </w:rPr>
        <w:t xml:space="preserve">”; </w:t>
      </w:r>
      <w:r w:rsidRPr="00C85D49">
        <w:rPr>
          <w:b/>
          <w:lang w:eastAsia="pl-PL"/>
        </w:rPr>
        <w:t>klauzula ta zastępuje pouczenie organu o odpowiedzialności karnej za składanie fałszywych zeznań.</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5a. Odbiorca przemysłowy, który nie przekazał Prezesowi URE w terminie informacji oraz oświadczenia, o których mowa w ust. 5, podał w tej informacji nieprawdziwe lub wprowadzające w błąd dane lub skorzystał z uprawnienia, o którym mowa w ust. 17, nie spełniając określonych w tym przepisie warunków, nie może skorzystać z uprawnień, o których mowa w ust. 17, przez okres 5 lat od zakończenia roku, którego dotyczył obowiązek, o którym mowa w ust. 1.</w:t>
      </w:r>
    </w:p>
    <w:p w:rsidR="0037785A" w:rsidRDefault="0037785A" w:rsidP="0037785A">
      <w:pPr>
        <w:spacing w:before="100" w:beforeAutospacing="1" w:after="100" w:afterAutospacing="1" w:line="360" w:lineRule="auto"/>
        <w:jc w:val="both"/>
        <w:rPr>
          <w:lang w:eastAsia="pl-PL"/>
        </w:rPr>
      </w:pPr>
      <w:bookmarkStart w:id="17" w:name="mip21181069"/>
      <w:bookmarkEnd w:id="17"/>
      <w:r w:rsidRPr="00F0188F">
        <w:rPr>
          <w:lang w:eastAsia="pl-PL"/>
        </w:rPr>
        <w:t>6. Przez odbiorcę przemysłowego rozumie się odbiorcę końcowego</w:t>
      </w:r>
      <w:r>
        <w:rPr>
          <w:lang w:eastAsia="pl-PL"/>
        </w:rPr>
        <w:t>:</w:t>
      </w:r>
      <w:r w:rsidRPr="00F0188F">
        <w:rPr>
          <w:lang w:eastAsia="pl-PL"/>
        </w:rPr>
        <w:t xml:space="preserve"> </w:t>
      </w:r>
    </w:p>
    <w:p w:rsidR="0037785A" w:rsidRPr="00F0188F" w:rsidRDefault="0037785A" w:rsidP="0037785A">
      <w:pPr>
        <w:spacing w:before="100" w:beforeAutospacing="1" w:after="100" w:afterAutospacing="1" w:line="360" w:lineRule="auto"/>
        <w:jc w:val="both"/>
        <w:rPr>
          <w:lang w:eastAsia="pl-PL"/>
        </w:rPr>
      </w:pPr>
      <w:r>
        <w:rPr>
          <w:lang w:eastAsia="pl-PL"/>
        </w:rPr>
        <w:t xml:space="preserve">1) </w:t>
      </w:r>
      <w:r w:rsidRPr="00F0188F">
        <w:rPr>
          <w:lang w:eastAsia="pl-PL"/>
        </w:rPr>
        <w:t>którego przeważającą działalnością gospodarczą jest działalność określona w Polskiej Klasyfikacji Działalności (PKD) i oznaczona następującymi kodami: 0510; 0729; 0811; 0891; 0893; 0899; 1032; 1039; 1041; 1062; 1104; 1106; 1310; 1320; 1394; 1395; 1411; 1610; 1621; 1711; 1712; 1722; 1920; 2012; 2013; 2014; 2015; 2016; 2017; 2060; 2110; 2221; 2222; 2311; 2312; 2313; 2314; 2319; 2320; 2331; 2342; 2343; 2349; 2399; 2410; 2420; 2431; 2432; 2434; 2441; 2442; 2443; 2444; 2445; 2446; 2720; 3299; 2011; 2332; 2351; 2352; 2451; 2452; 2453; 2454; 2611; 2680; 3832;</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2) dla którego wartość współczynnika intensywności zużycia energii elektrycznej wynosi nie mniej niż 3%.</w:t>
      </w:r>
    </w:p>
    <w:p w:rsidR="0037785A" w:rsidRPr="00F0188F" w:rsidRDefault="0037785A" w:rsidP="0037785A">
      <w:pPr>
        <w:spacing w:before="100" w:beforeAutospacing="1" w:after="100" w:afterAutospacing="1" w:line="360" w:lineRule="auto"/>
        <w:jc w:val="both"/>
        <w:rPr>
          <w:lang w:eastAsia="pl-PL"/>
        </w:rPr>
      </w:pPr>
      <w:bookmarkStart w:id="18" w:name="mip21181070"/>
      <w:bookmarkEnd w:id="18"/>
      <w:r w:rsidRPr="00F0188F">
        <w:rPr>
          <w:lang w:eastAsia="pl-PL"/>
        </w:rPr>
        <w:lastRenderedPageBreak/>
        <w:t xml:space="preserve">7. Przedsiębiorstwo energetyczne posiadające koncesję na obrót energią elektryczną, w terminie miesiąca od zakończenia roku kalendarzowego, w którym zakupiło energię elektryczną w wyniku transakcji zawartej za pośrednictwem towarowego domu maklerskiego lub domu maklerskiego na giełdzie towarowej lub na rynku organizowanym przez podmiot prowadzący na terytorium Rzeczypospolitej Polskiej rynek regulowany, jest obowiązane do przekazania towarowemu domowi maklerskiemu lub domowi maklerskiemu deklaracji o ilości energii elektrycznej zakupionej w wyniku tej transakcji i zużytej na własny użytek oraz przeznaczonej do dalszej odsprzedaży. </w:t>
      </w:r>
    </w:p>
    <w:p w:rsidR="0037785A" w:rsidRPr="00F0188F" w:rsidRDefault="0037785A" w:rsidP="0037785A">
      <w:pPr>
        <w:spacing w:before="100" w:beforeAutospacing="1" w:after="100" w:afterAutospacing="1" w:line="360" w:lineRule="auto"/>
        <w:jc w:val="both"/>
        <w:rPr>
          <w:lang w:eastAsia="pl-PL"/>
        </w:rPr>
      </w:pPr>
      <w:bookmarkStart w:id="19" w:name="mip21181071"/>
      <w:bookmarkEnd w:id="19"/>
      <w:r w:rsidRPr="00F0188F">
        <w:rPr>
          <w:lang w:eastAsia="pl-PL"/>
        </w:rPr>
        <w:t xml:space="preserve">8. Deklaracja, o której mowa w ust. 7, stanowi podstawę wykonania przez towarowy dom maklerski lub dom maklerski obowiązków, o których mowa w ust. 1. </w:t>
      </w:r>
    </w:p>
    <w:p w:rsidR="0037785A" w:rsidRPr="00F0188F" w:rsidRDefault="0037785A" w:rsidP="0037785A">
      <w:pPr>
        <w:spacing w:before="100" w:beforeAutospacing="1" w:after="100" w:afterAutospacing="1" w:line="360" w:lineRule="auto"/>
        <w:jc w:val="both"/>
        <w:rPr>
          <w:lang w:eastAsia="pl-PL"/>
        </w:rPr>
      </w:pPr>
      <w:bookmarkStart w:id="20" w:name="mip21181086"/>
      <w:bookmarkEnd w:id="20"/>
      <w:r w:rsidRPr="00F0188F">
        <w:rPr>
          <w:lang w:eastAsia="pl-PL"/>
        </w:rPr>
        <w:t xml:space="preserve">9. Realizacja zlecenia nabycia energii elektrycznej na giełdzie towarowej lub na rynku organizowanym przez podmiot prowadzący na terytorium Rzeczypospolitej Polskiej rynek regulowany, przez towarowy dom maklerski lub dom maklerski może nastąpić po złożeniu przez składającego zlecenie zabezpieczenia na pokrycie kosztów wykonania przez towarowy dom maklerski lub dom maklerski obowiązków, o których mowa w ust. 1, w zakresie określonym w ust. 2 pkt 3. Wysokość zabezpieczenia oraz sposób jego złożenia określa umowa zawarta między towarowym domem maklerskim lub domem maklerskim a składającym zlecenie. </w:t>
      </w:r>
    </w:p>
    <w:p w:rsidR="0037785A" w:rsidRPr="00F0188F" w:rsidRDefault="0037785A" w:rsidP="0037785A">
      <w:pPr>
        <w:spacing w:before="100" w:beforeAutospacing="1" w:after="100" w:afterAutospacing="1" w:line="360" w:lineRule="auto"/>
        <w:jc w:val="both"/>
        <w:rPr>
          <w:lang w:eastAsia="pl-PL"/>
        </w:rPr>
      </w:pPr>
      <w:bookmarkStart w:id="21" w:name="mip21181094"/>
      <w:bookmarkEnd w:id="21"/>
      <w:r w:rsidRPr="00F0188F">
        <w:rPr>
          <w:lang w:eastAsia="pl-PL"/>
        </w:rPr>
        <w:t xml:space="preserve">10. Opłatę zastępczą, o której mowa w ust. 1 pkt 2, oblicza się według wzoru: </w:t>
      </w:r>
    </w:p>
    <w:p w:rsidR="0037785A" w:rsidRPr="00F0188F" w:rsidRDefault="0037785A" w:rsidP="0037785A">
      <w:pPr>
        <w:spacing w:before="100" w:beforeAutospacing="1" w:after="100" w:afterAutospacing="1" w:line="360" w:lineRule="auto"/>
        <w:jc w:val="both"/>
        <w:rPr>
          <w:lang w:eastAsia="pl-PL"/>
        </w:rPr>
      </w:pPr>
      <w:proofErr w:type="spellStart"/>
      <w:r w:rsidRPr="00F0188F">
        <w:rPr>
          <w:lang w:eastAsia="pl-PL"/>
        </w:rPr>
        <w:t>Ozs</w:t>
      </w:r>
      <w:proofErr w:type="spellEnd"/>
      <w:r w:rsidRPr="00F0188F">
        <w:rPr>
          <w:lang w:eastAsia="pl-PL"/>
        </w:rPr>
        <w:t xml:space="preserve"> = </w:t>
      </w:r>
      <w:proofErr w:type="spellStart"/>
      <w:r w:rsidRPr="00F0188F">
        <w:rPr>
          <w:lang w:eastAsia="pl-PL"/>
        </w:rPr>
        <w:t>Ozg</w:t>
      </w:r>
      <w:proofErr w:type="spellEnd"/>
      <w:r w:rsidRPr="00F0188F">
        <w:rPr>
          <w:lang w:eastAsia="pl-PL"/>
        </w:rPr>
        <w:t xml:space="preserve"> </w:t>
      </w:r>
      <w:proofErr w:type="spellStart"/>
      <w:r w:rsidRPr="00F0188F">
        <w:rPr>
          <w:lang w:eastAsia="pl-PL"/>
        </w:rPr>
        <w:t>Eog</w:t>
      </w:r>
      <w:proofErr w:type="spellEnd"/>
      <w:r w:rsidRPr="00F0188F">
        <w:rPr>
          <w:lang w:eastAsia="pl-PL"/>
        </w:rPr>
        <w:t xml:space="preserve"> x </w:t>
      </w:r>
      <w:proofErr w:type="spellStart"/>
      <w:r w:rsidRPr="00F0188F">
        <w:rPr>
          <w:lang w:eastAsia="pl-PL"/>
        </w:rPr>
        <w:t>Ozk</w:t>
      </w:r>
      <w:proofErr w:type="spellEnd"/>
      <w:r w:rsidRPr="00F0188F">
        <w:rPr>
          <w:lang w:eastAsia="pl-PL"/>
        </w:rPr>
        <w:t xml:space="preserve"> </w:t>
      </w:r>
      <w:proofErr w:type="spellStart"/>
      <w:r w:rsidRPr="00F0188F">
        <w:rPr>
          <w:lang w:eastAsia="pl-PL"/>
        </w:rPr>
        <w:t>Eok</w:t>
      </w:r>
      <w:proofErr w:type="spellEnd"/>
      <w:r w:rsidRPr="00F0188F">
        <w:rPr>
          <w:lang w:eastAsia="pl-PL"/>
        </w:rPr>
        <w:t xml:space="preserve"> x </w:t>
      </w:r>
      <w:proofErr w:type="spellStart"/>
      <w:r w:rsidRPr="00F0188F">
        <w:rPr>
          <w:lang w:eastAsia="pl-PL"/>
        </w:rPr>
        <w:t>Ozm</w:t>
      </w:r>
      <w:proofErr w:type="spellEnd"/>
      <w:r w:rsidRPr="00F0188F">
        <w:rPr>
          <w:lang w:eastAsia="pl-PL"/>
        </w:rPr>
        <w:t xml:space="preserve"> </w:t>
      </w:r>
      <w:proofErr w:type="spellStart"/>
      <w:r w:rsidRPr="00F0188F">
        <w:rPr>
          <w:lang w:eastAsia="pl-PL"/>
        </w:rPr>
        <w:t>Eom</w:t>
      </w:r>
      <w:proofErr w:type="spellEnd"/>
      <w:r w:rsidRPr="00F0188F">
        <w:rPr>
          <w:lang w:eastAsia="pl-PL"/>
        </w:rPr>
        <w:t>,</w:t>
      </w:r>
    </w:p>
    <w:p w:rsidR="0037785A" w:rsidRPr="00F0188F" w:rsidRDefault="0037785A" w:rsidP="0037785A">
      <w:pPr>
        <w:spacing w:before="100" w:beforeAutospacing="1" w:after="100" w:afterAutospacing="1" w:line="360" w:lineRule="auto"/>
        <w:jc w:val="both"/>
        <w:rPr>
          <w:lang w:eastAsia="pl-PL"/>
        </w:rPr>
      </w:pPr>
      <w:r w:rsidRPr="00F0188F">
        <w:rPr>
          <w:lang w:eastAsia="pl-PL"/>
        </w:rPr>
        <w:t>gdzie poszczególne symbole oznaczają: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2"/>
        <w:gridCol w:w="140"/>
        <w:gridCol w:w="8480"/>
      </w:tblGrid>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Ozs</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opłatę zastępczą, o której mowa w ust. 1 pkt 2, wyrażoną w złotych,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Ozg</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jednostkową opłatę zastępczą, nie niższą niż 15% i nie wyższą niż 110% średniej ceny sprzedaży energii elektrycznej na rynku konkurencyjnym, o której mowa w art. 23 ust. 2 pkt 18 lit. b, wyrażoną w złotych za 1 MWh,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Eog</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 xml:space="preserve">ilość energii elektrycznej równą różnicy między ilością energii elektrycznej wynikającą z zakresu obowiązku określonego w ust. 11 dla jednostek kogeneracji, o których mowa w art. 9l ust. 1 pkt 1, a ilością energii elektrycznej wynikającą ze świadectw pochodzenia z kogeneracji, o których mowa w art. 9l ust. 1 pkt 1, </w:t>
            </w:r>
            <w:r w:rsidRPr="00F0188F">
              <w:rPr>
                <w:lang w:eastAsia="pl-PL"/>
              </w:rPr>
              <w:lastRenderedPageBreak/>
              <w:t>umorzonych obowiązanym podmiotom, w terminie, o którym mowa w art. 9m ust. 14, wyrażoną w MWh,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lastRenderedPageBreak/>
              <w:t>Ozk</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jednostkową opłatę zastępczą, nie niższą niż 5% i nie wyższą niż 40% średniej ceny sprzedaży energii elektrycznej na rynku konkurencyjnym, o której mowa w art. 23 ust. 2 pkt 18 lit. b, wyrażoną w złotych za 1 MWh,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Eok</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ilość energii elektrycznej równą różnicy między ilością energii elektrycznej wynikającą z zakresu obowiązku określonego w ust. 11 dla jednostek kogeneracji, o których mowa w art. 9l ust. 1 pkt 2, a ilością energii elektrycznej wynikającą ze świadectw pochodzenia z kogeneracji, o których mowa w art. 9l ust. 1 pkt 2, umorzonych obowiązanemu podmiotowi, w terminie, o którym mowa w art. 9m ust. 14, wyrażoną w MWh,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Ozm</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jednostkową opłatę zastępczą, nie niższą niż 30% i nie wyższą niż 120% średniej ceny sprzedaży energii elektrycznej na rynku konkurencyjnym, o której mowa w art. 23 ust. 2 pkt 18 lit. b, wyrażoną w złotych za 1 MWh,</w:t>
            </w:r>
          </w:p>
        </w:tc>
      </w:tr>
      <w:tr w:rsidR="0037785A" w:rsidRPr="00F0188F" w:rsidTr="003C4851">
        <w:trPr>
          <w:tblCellSpacing w:w="15" w:type="dxa"/>
        </w:trPr>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proofErr w:type="spellStart"/>
            <w:r w:rsidRPr="00F0188F">
              <w:rPr>
                <w:lang w:eastAsia="pl-PL"/>
              </w:rPr>
              <w:t>Eom</w:t>
            </w:r>
            <w:proofErr w:type="spellEnd"/>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w:t>
            </w:r>
          </w:p>
        </w:tc>
        <w:tc>
          <w:tcPr>
            <w:tcW w:w="0" w:type="auto"/>
            <w:vAlign w:val="center"/>
            <w:hideMark/>
          </w:tcPr>
          <w:p w:rsidR="0037785A" w:rsidRPr="00F0188F" w:rsidRDefault="0037785A" w:rsidP="003C4851">
            <w:pPr>
              <w:spacing w:before="100" w:beforeAutospacing="1" w:after="100" w:afterAutospacing="1" w:line="360" w:lineRule="auto"/>
              <w:jc w:val="both"/>
              <w:rPr>
                <w:lang w:eastAsia="pl-PL"/>
              </w:rPr>
            </w:pPr>
            <w:r w:rsidRPr="00F0188F">
              <w:rPr>
                <w:lang w:eastAsia="pl-PL"/>
              </w:rPr>
              <w:t>ilość energii elektrycznej równą różnicy między ilością energii elektrycznej wynikającą z zakresu obowiązku określonego w ust. 11 dla jednostek kogeneracji, o których mowa w art. 9l ust. 1 pkt 1a, a ilością energii elektrycznej wynikającą ze świadectw pochodzenia z kogeneracji, o których mowa w art. 9l ust. 1 pkt 1a, umorzonych obowiązanym podmiotom, w terminie, o którym mowa w art. 9m ust. 14, wyrażoną w MWh.</w:t>
            </w:r>
          </w:p>
        </w:tc>
      </w:tr>
    </w:tbl>
    <w:p w:rsidR="0037785A" w:rsidRPr="00F0188F" w:rsidRDefault="0037785A" w:rsidP="0037785A">
      <w:pPr>
        <w:spacing w:before="100" w:beforeAutospacing="1" w:after="100" w:afterAutospacing="1" w:line="360" w:lineRule="auto"/>
        <w:jc w:val="both"/>
        <w:rPr>
          <w:lang w:eastAsia="pl-PL"/>
        </w:rPr>
      </w:pPr>
      <w:bookmarkStart w:id="22" w:name="mip21181103"/>
      <w:bookmarkEnd w:id="22"/>
      <w:r w:rsidRPr="00F0188F">
        <w:rPr>
          <w:lang w:eastAsia="pl-PL"/>
        </w:rPr>
        <w:t xml:space="preserve">11. Zakres obowiązku uzyskania i przedstawienia do umorzenia świadectwa pochodzenia z kogeneracji lub uiszczenia opłaty zastępczej, o którym mowa w ust. 1, określa się: </w:t>
      </w:r>
    </w:p>
    <w:p w:rsidR="0037785A" w:rsidRPr="00F0188F" w:rsidRDefault="0037785A" w:rsidP="0037785A">
      <w:pPr>
        <w:spacing w:before="100" w:beforeAutospacing="1" w:after="100" w:afterAutospacing="1" w:line="360" w:lineRule="auto"/>
        <w:jc w:val="both"/>
        <w:rPr>
          <w:lang w:eastAsia="pl-PL"/>
        </w:rPr>
      </w:pPr>
      <w:bookmarkStart w:id="23" w:name="mip21181105"/>
      <w:bookmarkEnd w:id="23"/>
      <w:r w:rsidRPr="00F0188F">
        <w:rPr>
          <w:lang w:eastAsia="pl-PL"/>
        </w:rPr>
        <w:t xml:space="preserve">1) dla jednostki kogeneracji, o której mowa w art. 9l ust. 1 pkt 1, na poziomie: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a) 3,9% w 2014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b) 4,9% w 2015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c) 6,0% w 2016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d) 7,0% w 2017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e) 8,0% w 2018 r.; </w:t>
      </w:r>
    </w:p>
    <w:p w:rsidR="0037785A" w:rsidRPr="00F0188F" w:rsidRDefault="0037785A" w:rsidP="0037785A">
      <w:pPr>
        <w:spacing w:before="100" w:beforeAutospacing="1" w:after="100" w:afterAutospacing="1" w:line="360" w:lineRule="auto"/>
        <w:jc w:val="both"/>
        <w:rPr>
          <w:lang w:eastAsia="pl-PL"/>
        </w:rPr>
      </w:pPr>
      <w:bookmarkStart w:id="24" w:name="mip21181106"/>
      <w:bookmarkEnd w:id="24"/>
      <w:r w:rsidRPr="00F0188F">
        <w:rPr>
          <w:lang w:eastAsia="pl-PL"/>
        </w:rPr>
        <w:lastRenderedPageBreak/>
        <w:t xml:space="preserve">2) dla jednostki kogeneracji, o której mowa w art. 9l ust. 1 pkt 1a, na poziomie: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a) 1,1% w 2014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b) 1,3% w 2015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c) 1,5% w 2016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d) 1,8% w 2017 r.,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e) 2,3% w 2018 r.; </w:t>
      </w:r>
    </w:p>
    <w:p w:rsidR="0037785A" w:rsidRPr="00F0188F" w:rsidRDefault="0037785A" w:rsidP="0037785A">
      <w:pPr>
        <w:spacing w:before="100" w:beforeAutospacing="1" w:after="100" w:afterAutospacing="1" w:line="360" w:lineRule="auto"/>
        <w:jc w:val="both"/>
        <w:rPr>
          <w:lang w:eastAsia="pl-PL"/>
        </w:rPr>
      </w:pPr>
      <w:bookmarkStart w:id="25" w:name="mip21181107"/>
      <w:bookmarkEnd w:id="25"/>
      <w:r w:rsidRPr="00F0188F">
        <w:rPr>
          <w:lang w:eastAsia="pl-PL"/>
        </w:rPr>
        <w:t xml:space="preserve">3) dla jednostki kogeneracji, o której mowa w art. 9l ust. 1 pkt 2, na poziomie 23,2% w każdym roku, począwszy od 2014 r. do 2018 r. </w:t>
      </w:r>
    </w:p>
    <w:p w:rsidR="0037785A" w:rsidRPr="00F0188F" w:rsidRDefault="0037785A" w:rsidP="0037785A">
      <w:pPr>
        <w:spacing w:before="100" w:beforeAutospacing="1" w:after="100" w:afterAutospacing="1" w:line="360" w:lineRule="auto"/>
        <w:jc w:val="both"/>
        <w:rPr>
          <w:lang w:eastAsia="pl-PL"/>
        </w:rPr>
      </w:pPr>
      <w:bookmarkStart w:id="26" w:name="mip30738013"/>
      <w:bookmarkEnd w:id="26"/>
      <w:r w:rsidRPr="00F0188F">
        <w:rPr>
          <w:lang w:eastAsia="pl-PL"/>
        </w:rPr>
        <w:t xml:space="preserve">12. Zakres obowiązku, o którym mowa w ust. 11, określa minimalny udział ilościowy sumy energii elektrycznej wynikającej z uzyskanych i umorzonych świadectw pochodzenia z kogeneracji lub z uiszczonej opłaty zastępczej, odniesiony do: </w:t>
      </w:r>
    </w:p>
    <w:p w:rsidR="0037785A" w:rsidRPr="00F0188F" w:rsidRDefault="0037785A" w:rsidP="0037785A">
      <w:pPr>
        <w:spacing w:before="100" w:beforeAutospacing="1" w:after="100" w:afterAutospacing="1" w:line="360" w:lineRule="auto"/>
        <w:jc w:val="both"/>
        <w:rPr>
          <w:lang w:eastAsia="pl-PL"/>
        </w:rPr>
      </w:pPr>
      <w:bookmarkStart w:id="27" w:name="mip30738015"/>
      <w:bookmarkEnd w:id="27"/>
      <w:r w:rsidRPr="00F0188F">
        <w:rPr>
          <w:lang w:eastAsia="pl-PL"/>
        </w:rPr>
        <w:t xml:space="preserve">1) dokonanego zakupu energii elektrycznej przez odbiorców przemysłowych, o których mowa w ust. 2 pkt 1; </w:t>
      </w:r>
    </w:p>
    <w:p w:rsidR="0037785A" w:rsidRPr="00F0188F" w:rsidRDefault="0037785A" w:rsidP="0037785A">
      <w:pPr>
        <w:spacing w:before="100" w:beforeAutospacing="1" w:after="100" w:afterAutospacing="1" w:line="360" w:lineRule="auto"/>
        <w:jc w:val="both"/>
        <w:rPr>
          <w:lang w:eastAsia="pl-PL"/>
        </w:rPr>
      </w:pPr>
      <w:bookmarkStart w:id="28" w:name="mip30738016"/>
      <w:bookmarkEnd w:id="28"/>
      <w:r w:rsidRPr="00F0188F">
        <w:rPr>
          <w:lang w:eastAsia="pl-PL"/>
        </w:rPr>
        <w:t xml:space="preserve">2) całkowitej sprzedaży energii elektrycznej odbiorcom końcowym niebędącym odbiorcami przemysłowymi, o których mowa w pkt 1, przez przedsiębiorstwo energetyczne wykonujące działalność gospodarczą w zakresie wytwarzania energii elektrycznej lub obrotu tą energią i sprzedające tą energię odbiorcom końcowym; </w:t>
      </w:r>
    </w:p>
    <w:p w:rsidR="0037785A" w:rsidRPr="00F0188F" w:rsidRDefault="0037785A" w:rsidP="0037785A">
      <w:pPr>
        <w:spacing w:before="100" w:beforeAutospacing="1" w:after="100" w:afterAutospacing="1" w:line="360" w:lineRule="auto"/>
        <w:jc w:val="both"/>
        <w:rPr>
          <w:lang w:eastAsia="pl-PL"/>
        </w:rPr>
      </w:pPr>
      <w:bookmarkStart w:id="29" w:name="mip30738017"/>
      <w:bookmarkEnd w:id="29"/>
      <w:r w:rsidRPr="00F0188F">
        <w:rPr>
          <w:lang w:eastAsia="pl-PL"/>
        </w:rPr>
        <w:t xml:space="preserve">3) dokonanego zakupu energii elektrycznej na giełdzie towarowej lub na rynku organizowanym przez podmiot prowadzący na terytorium Rzeczypospolitej Polskiej rynek regulowany w transakcjach zawieranych we własnym imieniu przez odbiorców końcowych, o których mowa w ust. 2 pkt 3; </w:t>
      </w:r>
    </w:p>
    <w:p w:rsidR="0037785A" w:rsidRPr="00F0188F" w:rsidRDefault="0037785A" w:rsidP="0037785A">
      <w:pPr>
        <w:spacing w:before="100" w:beforeAutospacing="1" w:after="100" w:afterAutospacing="1" w:line="360" w:lineRule="auto"/>
        <w:jc w:val="both"/>
        <w:rPr>
          <w:lang w:eastAsia="pl-PL"/>
        </w:rPr>
      </w:pPr>
      <w:bookmarkStart w:id="30" w:name="mip30738018"/>
      <w:bookmarkEnd w:id="30"/>
      <w:r w:rsidRPr="00F0188F">
        <w:rPr>
          <w:lang w:eastAsia="pl-PL"/>
        </w:rPr>
        <w:t xml:space="preserve">4) dokonanego zakupu energii elektrycznej przez towarowy dom maklerski lub dom maklerski, o których mowa w art. 2 pkt 8 i 9 ustawy z dnia 26 października 2000 r. o giełdach towarowych, w odniesieniu do transakcji zawieranych na zlecenie odbiorców końcowych, innych niż odbiorcy przemysłowi, o których mowa w pkt 1. </w:t>
      </w:r>
    </w:p>
    <w:p w:rsidR="0037785A" w:rsidRPr="00F0188F" w:rsidRDefault="0037785A" w:rsidP="0037785A">
      <w:pPr>
        <w:spacing w:before="100" w:beforeAutospacing="1" w:after="100" w:afterAutospacing="1" w:line="360" w:lineRule="auto"/>
        <w:jc w:val="both"/>
        <w:rPr>
          <w:lang w:eastAsia="pl-PL"/>
        </w:rPr>
      </w:pPr>
      <w:bookmarkStart w:id="31" w:name="mip30738019"/>
      <w:bookmarkEnd w:id="31"/>
      <w:r w:rsidRPr="00F0188F">
        <w:rPr>
          <w:lang w:eastAsia="pl-PL"/>
        </w:rPr>
        <w:lastRenderedPageBreak/>
        <w:t xml:space="preserve">13. Prezes Urzędu Regulacji Energetyki ustala jednostkowe opłaty zastępcze oznaczone symbolami </w:t>
      </w:r>
      <w:proofErr w:type="spellStart"/>
      <w:r w:rsidRPr="00F0188F">
        <w:rPr>
          <w:lang w:eastAsia="pl-PL"/>
        </w:rPr>
        <w:t>Ozg</w:t>
      </w:r>
      <w:proofErr w:type="spellEnd"/>
      <w:r w:rsidRPr="00F0188F">
        <w:rPr>
          <w:lang w:eastAsia="pl-PL"/>
        </w:rPr>
        <w:t xml:space="preserve">, </w:t>
      </w:r>
      <w:proofErr w:type="spellStart"/>
      <w:r w:rsidRPr="00F0188F">
        <w:rPr>
          <w:lang w:eastAsia="pl-PL"/>
        </w:rPr>
        <w:t>Ozk</w:t>
      </w:r>
      <w:proofErr w:type="spellEnd"/>
      <w:r w:rsidRPr="00F0188F">
        <w:rPr>
          <w:lang w:eastAsia="pl-PL"/>
        </w:rPr>
        <w:t xml:space="preserve"> i </w:t>
      </w:r>
      <w:proofErr w:type="spellStart"/>
      <w:r w:rsidRPr="00F0188F">
        <w:rPr>
          <w:lang w:eastAsia="pl-PL"/>
        </w:rPr>
        <w:t>Ozm</w:t>
      </w:r>
      <w:proofErr w:type="spellEnd"/>
      <w:r w:rsidRPr="00F0188F">
        <w:rPr>
          <w:lang w:eastAsia="pl-PL"/>
        </w:rPr>
        <w:t xml:space="preserve">, o których mowa w ust. 10, na podstawie średniej ceny sprzedaży energii elektrycznej na rynku konkurencyjnym, o której mowa w art. 23 ust. 2 pkt 18 lit. b, z roku poprzedzającego rok ustalenia jednostkowych opłat zastępczych, biorąc pod uwagę: </w:t>
      </w:r>
    </w:p>
    <w:p w:rsidR="0037785A" w:rsidRPr="00F0188F" w:rsidRDefault="0037785A" w:rsidP="0037785A">
      <w:pPr>
        <w:spacing w:before="100" w:beforeAutospacing="1" w:after="100" w:afterAutospacing="1" w:line="360" w:lineRule="auto"/>
        <w:jc w:val="both"/>
        <w:rPr>
          <w:lang w:eastAsia="pl-PL"/>
        </w:rPr>
      </w:pPr>
      <w:bookmarkStart w:id="32" w:name="mip30738021"/>
      <w:bookmarkEnd w:id="32"/>
      <w:r w:rsidRPr="00F0188F">
        <w:rPr>
          <w:lang w:eastAsia="pl-PL"/>
        </w:rPr>
        <w:t xml:space="preserve">1) ilość energii elektrycznej z wysokosprawnej kogeneracji; </w:t>
      </w:r>
    </w:p>
    <w:p w:rsidR="0037785A" w:rsidRPr="00F0188F" w:rsidRDefault="0037785A" w:rsidP="0037785A">
      <w:pPr>
        <w:spacing w:before="100" w:beforeAutospacing="1" w:after="100" w:afterAutospacing="1" w:line="360" w:lineRule="auto"/>
        <w:jc w:val="both"/>
        <w:rPr>
          <w:lang w:eastAsia="pl-PL"/>
        </w:rPr>
      </w:pPr>
      <w:bookmarkStart w:id="33" w:name="mip30738022"/>
      <w:bookmarkEnd w:id="33"/>
      <w:r w:rsidRPr="00F0188F">
        <w:rPr>
          <w:lang w:eastAsia="pl-PL"/>
        </w:rPr>
        <w:t xml:space="preserve">2) różnicę między kosztami wytwarzania energii elektrycznej w wysokosprawnej kogeneracji a cenami sprzedaży energii elektrycznej na rynku konkurencyjnym; </w:t>
      </w:r>
    </w:p>
    <w:p w:rsidR="0037785A" w:rsidRPr="00F0188F" w:rsidRDefault="0037785A" w:rsidP="0037785A">
      <w:pPr>
        <w:spacing w:before="100" w:beforeAutospacing="1" w:after="100" w:afterAutospacing="1" w:line="360" w:lineRule="auto"/>
        <w:jc w:val="both"/>
        <w:rPr>
          <w:lang w:eastAsia="pl-PL"/>
        </w:rPr>
      </w:pPr>
      <w:bookmarkStart w:id="34" w:name="mip30738023"/>
      <w:bookmarkEnd w:id="34"/>
      <w:r w:rsidRPr="00F0188F">
        <w:rPr>
          <w:lang w:eastAsia="pl-PL"/>
        </w:rPr>
        <w:t xml:space="preserve">3) poziom cen energii elektrycznej dla odbiorców końcowych; </w:t>
      </w:r>
    </w:p>
    <w:p w:rsidR="0037785A" w:rsidRPr="00F0188F" w:rsidRDefault="0037785A" w:rsidP="0037785A">
      <w:pPr>
        <w:spacing w:before="100" w:beforeAutospacing="1" w:after="100" w:afterAutospacing="1" w:line="360" w:lineRule="auto"/>
        <w:jc w:val="both"/>
        <w:rPr>
          <w:lang w:eastAsia="pl-PL"/>
        </w:rPr>
      </w:pPr>
      <w:bookmarkStart w:id="35" w:name="mip30738024"/>
      <w:bookmarkEnd w:id="35"/>
      <w:r w:rsidRPr="00F0188F">
        <w:rPr>
          <w:lang w:eastAsia="pl-PL"/>
        </w:rPr>
        <w:t xml:space="preserve">4) poziom zagospodarowania dostępnych ilości metanu uwalnianego i ujmowanego przy dołowych robotach górniczych w czynnych, likwidowanych lub zlikwidowanych kopalniach węgla kamiennego oraz gazu uzyskiwanego z przetwarzania biomasy w rozumieniu art. 2 pkt 3 ustawy wymienionej w art. 3 pkt 20. </w:t>
      </w:r>
    </w:p>
    <w:p w:rsidR="0037785A" w:rsidRPr="00F0188F" w:rsidRDefault="0037785A" w:rsidP="0037785A">
      <w:pPr>
        <w:spacing w:before="100" w:beforeAutospacing="1" w:after="100" w:afterAutospacing="1" w:line="360" w:lineRule="auto"/>
        <w:jc w:val="both"/>
        <w:rPr>
          <w:lang w:eastAsia="pl-PL"/>
        </w:rPr>
      </w:pPr>
      <w:bookmarkStart w:id="36" w:name="mip30738025"/>
      <w:bookmarkEnd w:id="36"/>
      <w:r w:rsidRPr="00F0188F">
        <w:rPr>
          <w:lang w:eastAsia="pl-PL"/>
        </w:rPr>
        <w:t xml:space="preserve">14. Prezes Urzędu Regulacji Energetyki ogłasza w Biuletynie Urzędu Regulacji Energetyki jednostkowe opłaty zastępcze oznaczone symbolami </w:t>
      </w:r>
      <w:proofErr w:type="spellStart"/>
      <w:r w:rsidRPr="00F0188F">
        <w:rPr>
          <w:lang w:eastAsia="pl-PL"/>
        </w:rPr>
        <w:t>Ozg</w:t>
      </w:r>
      <w:proofErr w:type="spellEnd"/>
      <w:r w:rsidRPr="00F0188F">
        <w:rPr>
          <w:lang w:eastAsia="pl-PL"/>
        </w:rPr>
        <w:t xml:space="preserve">, </w:t>
      </w:r>
      <w:proofErr w:type="spellStart"/>
      <w:r w:rsidRPr="00F0188F">
        <w:rPr>
          <w:lang w:eastAsia="pl-PL"/>
        </w:rPr>
        <w:t>Ozk</w:t>
      </w:r>
      <w:proofErr w:type="spellEnd"/>
      <w:r w:rsidRPr="00F0188F">
        <w:rPr>
          <w:lang w:eastAsia="pl-PL"/>
        </w:rPr>
        <w:t xml:space="preserve"> i </w:t>
      </w:r>
      <w:proofErr w:type="spellStart"/>
      <w:r w:rsidRPr="00F0188F">
        <w:rPr>
          <w:lang w:eastAsia="pl-PL"/>
        </w:rPr>
        <w:t>Ozm</w:t>
      </w:r>
      <w:proofErr w:type="spellEnd"/>
      <w:r w:rsidRPr="00F0188F">
        <w:rPr>
          <w:lang w:eastAsia="pl-PL"/>
        </w:rPr>
        <w:t xml:space="preserve">, o których mowa w ust. 10, do dnia 31 maja każdego roku, obowiązujące w roku następnym. </w:t>
      </w:r>
    </w:p>
    <w:p w:rsidR="0037785A" w:rsidRPr="00F0188F" w:rsidRDefault="0037785A" w:rsidP="0037785A">
      <w:pPr>
        <w:spacing w:before="100" w:beforeAutospacing="1" w:after="100" w:afterAutospacing="1" w:line="360" w:lineRule="auto"/>
        <w:jc w:val="both"/>
        <w:rPr>
          <w:lang w:eastAsia="pl-PL"/>
        </w:rPr>
      </w:pPr>
      <w:bookmarkStart w:id="37" w:name="mip30738026"/>
      <w:bookmarkEnd w:id="37"/>
      <w:r w:rsidRPr="00F0188F">
        <w:rPr>
          <w:lang w:eastAsia="pl-PL"/>
        </w:rPr>
        <w:t xml:space="preserve">15. Opłata zastępcza, o której mowa w ust. 1 pkt 2, stanowi przychód Narodowego Funduszu Ochrony Środowiska i Gospodarki Wodnej i jest uiszczana na rachunek bankowy tego funduszu do dnia 30 czerwca każdego roku, za poprzedni rok kalendarzowy. </w:t>
      </w:r>
    </w:p>
    <w:p w:rsidR="0037785A" w:rsidRPr="00F0188F" w:rsidRDefault="0037785A" w:rsidP="0037785A">
      <w:pPr>
        <w:spacing w:before="100" w:beforeAutospacing="1" w:after="100" w:afterAutospacing="1" w:line="360" w:lineRule="auto"/>
        <w:jc w:val="both"/>
        <w:rPr>
          <w:lang w:eastAsia="pl-PL"/>
        </w:rPr>
      </w:pPr>
      <w:bookmarkStart w:id="38" w:name="mip30738027"/>
      <w:bookmarkEnd w:id="38"/>
      <w:r w:rsidRPr="00F0188F">
        <w:rPr>
          <w:lang w:eastAsia="pl-PL"/>
        </w:rPr>
        <w:t xml:space="preserve">16. Minister właściwy do spraw energii określi, w drodze rozporządzenia, sposób obliczania danych podanych we wniosku o wydanie świadectwa pochodzenia z kogeneracji, o którym mowa w art. 9l ust. 1, oraz szczegółowy zakres obowiązku potwierdzania danych, o których mowa w art. 9l ust. 8, w tym: </w:t>
      </w:r>
    </w:p>
    <w:p w:rsidR="0037785A" w:rsidRPr="00F0188F" w:rsidRDefault="0037785A" w:rsidP="0037785A">
      <w:pPr>
        <w:spacing w:before="100" w:beforeAutospacing="1" w:after="100" w:afterAutospacing="1" w:line="360" w:lineRule="auto"/>
        <w:jc w:val="both"/>
        <w:rPr>
          <w:lang w:eastAsia="pl-PL"/>
        </w:rPr>
      </w:pPr>
      <w:bookmarkStart w:id="39" w:name="mip30738029"/>
      <w:bookmarkEnd w:id="39"/>
      <w:r w:rsidRPr="00F0188F">
        <w:rPr>
          <w:lang w:eastAsia="pl-PL"/>
        </w:rPr>
        <w:t xml:space="preserve">1) sposób obliczania: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a) średniorocznej sprawności przemiany energii chemicznej paliwa w energię elektryczną lub mechaniczną i ciepło użytkowe w kogeneracji,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b) ilości energii elektrycznej z wysokosprawnej kogeneracji, </w:t>
      </w:r>
    </w:p>
    <w:p w:rsidR="0037785A" w:rsidRPr="00F0188F" w:rsidRDefault="0037785A" w:rsidP="0037785A">
      <w:pPr>
        <w:spacing w:before="100" w:beforeAutospacing="1" w:after="100" w:afterAutospacing="1" w:line="360" w:lineRule="auto"/>
        <w:jc w:val="both"/>
        <w:rPr>
          <w:lang w:eastAsia="pl-PL"/>
        </w:rPr>
      </w:pPr>
      <w:r w:rsidRPr="00F0188F">
        <w:rPr>
          <w:lang w:eastAsia="pl-PL"/>
        </w:rPr>
        <w:lastRenderedPageBreak/>
        <w:t xml:space="preserve">c) ilości ciepła użytkowego w kogeneracji,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d) oszczędności energii pierwotnej uzyskanej w wyniku zastosowania kogeneracji w porównaniu z wytwarzaniem energii elektrycznej i ciepła w układach rozdzielonych o referencyjnych wartościach sprawności dla wytwarzania rozdzielonego, </w:t>
      </w:r>
    </w:p>
    <w:p w:rsidR="0037785A" w:rsidRPr="00F0188F" w:rsidRDefault="0037785A" w:rsidP="0037785A">
      <w:pPr>
        <w:spacing w:before="100" w:beforeAutospacing="1" w:after="100" w:afterAutospacing="1" w:line="360" w:lineRule="auto"/>
        <w:jc w:val="both"/>
        <w:rPr>
          <w:lang w:eastAsia="pl-PL"/>
        </w:rPr>
      </w:pPr>
      <w:bookmarkStart w:id="40" w:name="mip30738030"/>
      <w:bookmarkEnd w:id="40"/>
      <w:r w:rsidRPr="00F0188F">
        <w:rPr>
          <w:lang w:eastAsia="pl-PL"/>
        </w:rPr>
        <w:t xml:space="preserve">2) sposoby wykorzystania ciepła użytkowego w kogeneracji przyjmowanego do obliczania danych podanych we wniosku o wydanie świadectwa pochodzenia z kogeneracji, o którym mowa w art. 9l ust. 1, </w:t>
      </w:r>
    </w:p>
    <w:p w:rsidR="0037785A" w:rsidRPr="00F0188F" w:rsidRDefault="0037785A" w:rsidP="0037785A">
      <w:pPr>
        <w:spacing w:before="100" w:beforeAutospacing="1" w:after="100" w:afterAutospacing="1" w:line="360" w:lineRule="auto"/>
        <w:jc w:val="both"/>
        <w:rPr>
          <w:lang w:eastAsia="pl-PL"/>
        </w:rPr>
      </w:pPr>
      <w:bookmarkStart w:id="41" w:name="mip30738031"/>
      <w:bookmarkEnd w:id="41"/>
      <w:r w:rsidRPr="00F0188F">
        <w:rPr>
          <w:lang w:eastAsia="pl-PL"/>
        </w:rPr>
        <w:t xml:space="preserve">3) referencyjne wartości sprawności dla wytwarzania rozdzielonego, oddzielnie dla energii elektrycznej i ciepła, służące do obliczania oszczędności energii pierwotnej uzyskanej w wyniku zastosowania kogeneracji, </w:t>
      </w:r>
    </w:p>
    <w:p w:rsidR="0037785A" w:rsidRPr="00F0188F" w:rsidRDefault="0037785A" w:rsidP="0037785A">
      <w:pPr>
        <w:spacing w:before="100" w:beforeAutospacing="1" w:after="100" w:afterAutospacing="1" w:line="360" w:lineRule="auto"/>
        <w:jc w:val="both"/>
        <w:rPr>
          <w:lang w:eastAsia="pl-PL"/>
        </w:rPr>
      </w:pPr>
      <w:bookmarkStart w:id="42" w:name="mip30738032"/>
      <w:bookmarkEnd w:id="42"/>
      <w:r w:rsidRPr="00F0188F">
        <w:rPr>
          <w:lang w:eastAsia="pl-PL"/>
        </w:rPr>
        <w:t xml:space="preserve">4) wymagania dotyczące pomiarów ilości energii elektrycznej i ciepła użytkowego w jednostkach kogeneracji oraz ilości paliw zużywanych do ich wytwarzania, w tym na potrzeby realizacji obowiązku potwierdzania danych, o którym mowa w art. 9l ust. 8, </w:t>
      </w:r>
    </w:p>
    <w:p w:rsidR="0037785A" w:rsidRPr="00F0188F" w:rsidRDefault="0037785A" w:rsidP="0037785A">
      <w:pPr>
        <w:spacing w:before="100" w:beforeAutospacing="1" w:after="100" w:afterAutospacing="1" w:line="360" w:lineRule="auto"/>
        <w:jc w:val="both"/>
        <w:rPr>
          <w:lang w:eastAsia="pl-PL"/>
        </w:rPr>
      </w:pPr>
      <w:bookmarkStart w:id="43" w:name="mip30738033"/>
      <w:bookmarkEnd w:id="43"/>
      <w:r w:rsidRPr="00F0188F">
        <w:rPr>
          <w:lang w:eastAsia="pl-PL"/>
        </w:rPr>
        <w:t xml:space="preserve">5) wymagania dotyczące pomiarów, rejestracji i sposobu obliczania ilości energii elektrycznej i ciepła użytkowego wytwarzanej w wysokosprawnej kogeneracji w jednostkach kogeneracji, o których mowa w art. 9l ust. 1 i 1a, w tym wymagania dotyczące pomiarów bezpośrednich ilości energii elektrycznej i ciepła użytkowego oraz ilości paliw zużywanych do ich wytwarzania dokonywanych na potrzeby wydawania świadectw pochodzenia, o których mowa w art. 9l, </w:t>
      </w:r>
    </w:p>
    <w:p w:rsidR="0037785A" w:rsidRPr="00F0188F" w:rsidRDefault="0037785A" w:rsidP="0037785A">
      <w:pPr>
        <w:spacing w:before="100" w:beforeAutospacing="1" w:after="100" w:afterAutospacing="1" w:line="360" w:lineRule="auto"/>
        <w:jc w:val="both"/>
        <w:rPr>
          <w:lang w:eastAsia="pl-PL"/>
        </w:rPr>
      </w:pPr>
      <w:bookmarkStart w:id="44" w:name="mip30738034"/>
      <w:bookmarkEnd w:id="44"/>
      <w:r w:rsidRPr="00F0188F">
        <w:rPr>
          <w:lang w:eastAsia="pl-PL"/>
        </w:rPr>
        <w:t xml:space="preserve">6) maksymalną wysokość i sposób uwzględniania w kalkulacji cen energii elektrycznej ustalanych w taryfach przedsiębiorstw energetycznych, o których mowa w ust. 1: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a) kosztów uzyskania i przedstawienia do umorzenia świadectw pochodzenia z kogeneracji, o których mowa w art. 9l ust. 1, </w:t>
      </w:r>
    </w:p>
    <w:p w:rsidR="0037785A" w:rsidRPr="00F0188F" w:rsidRDefault="0037785A" w:rsidP="0037785A">
      <w:pPr>
        <w:spacing w:before="100" w:beforeAutospacing="1" w:after="100" w:afterAutospacing="1" w:line="360" w:lineRule="auto"/>
        <w:jc w:val="both"/>
        <w:rPr>
          <w:lang w:eastAsia="pl-PL"/>
        </w:rPr>
      </w:pPr>
      <w:r w:rsidRPr="00F0188F">
        <w:rPr>
          <w:lang w:eastAsia="pl-PL"/>
        </w:rPr>
        <w:t xml:space="preserve">b) poniesionej opłaty zastępczej, o której mowa w ust. 1 pkt 2 </w:t>
      </w:r>
    </w:p>
    <w:p w:rsidR="0037785A" w:rsidRPr="00F0188F" w:rsidRDefault="0037785A" w:rsidP="0037785A">
      <w:pPr>
        <w:spacing w:before="100" w:beforeAutospacing="1" w:after="100" w:afterAutospacing="1" w:line="360" w:lineRule="auto"/>
        <w:jc w:val="both"/>
        <w:rPr>
          <w:lang w:eastAsia="pl-PL"/>
        </w:rPr>
      </w:pPr>
      <w:bookmarkStart w:id="45" w:name="mip30738038"/>
      <w:bookmarkEnd w:id="45"/>
      <w:r w:rsidRPr="00F0188F">
        <w:rPr>
          <w:lang w:eastAsia="pl-PL"/>
        </w:rPr>
        <w:t xml:space="preserve">- biorąc pod uwagę politykę energetyczną państwa, zobowiązania wynikające z umów międzynarodowych oraz uzasadnione technicznie i ekonomicznie możliwości wykorzystania krajowego potencjału wysokosprawnej kogeneracji. </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lastRenderedPageBreak/>
        <w:t>17. Obowiązek, o którym mowa w ust. 1 w odniesieniu do odbiorców przemysłowych, którzy złożyli oświadczenie, o którym mowa w ust. 3, dla których wartość współczynnika intensywności zużycia energii elektrycznej wyniosła:</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1) nie mniej niż 3% i nie więcej niż 20% - wykonywany jest w odniesieniu do 80% ilości energii elektrycznej zakupionej przez odbiorcę przemysłowego na własny użytek w roku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2) więcej niż 20% i nie więcej niż 40% - wykonywany jest w odniesieniu do 60% ilości energii elektrycznej zakupionej na własny użytek przez odbiorcę przemysłowego w roku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3) więcej niż 40% - wykonywany jest w odniesieniu do 15% ilości energii elektrycznej zakupionej na własny użytek przez odbiorcę przemysłowego w roku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18. Przez współczynnik intensywności zużycia energii elektrycznej, o którym mowa w ust. 17, rozumie się stosunek kosztów energii elektrycznej zużytej na własne potrzeby do wartości dodanej brutto obliczanej jako średnia arytmetyczna z trzech ostatnich lat poprzedzających rok realizacji obowiązku.</w:t>
      </w:r>
    </w:p>
    <w:p w:rsidR="0037785A" w:rsidRPr="00F0188F" w:rsidRDefault="0037785A" w:rsidP="0037785A">
      <w:pPr>
        <w:spacing w:before="100" w:beforeAutospacing="1" w:after="100" w:afterAutospacing="1" w:line="360" w:lineRule="auto"/>
        <w:jc w:val="both"/>
        <w:rPr>
          <w:b/>
          <w:lang w:eastAsia="pl-PL"/>
        </w:rPr>
      </w:pPr>
      <w:r w:rsidRPr="00F0188F">
        <w:rPr>
          <w:b/>
          <w:lang w:eastAsia="pl-PL"/>
        </w:rPr>
        <w:t>19. W przypadku gdy działalność gospodarcza jest wykonywana w okresie krótszym niż trzy lata, wartość dodaną brutto, o której mowa w ust. 18, oblicza się jako średnią arytmetyczną z okresu wykonywania tej działalności.</w:t>
      </w:r>
    </w:p>
    <w:p w:rsidR="007E4844" w:rsidRDefault="0037785A" w:rsidP="00F0188F">
      <w:pPr>
        <w:spacing w:before="100" w:beforeAutospacing="1" w:after="100" w:afterAutospacing="1" w:line="360" w:lineRule="auto"/>
        <w:jc w:val="both"/>
        <w:rPr>
          <w:b/>
          <w:lang w:eastAsia="pl-PL"/>
        </w:rPr>
      </w:pPr>
      <w:r w:rsidRPr="00F0188F">
        <w:rPr>
          <w:b/>
          <w:lang w:eastAsia="pl-PL"/>
        </w:rPr>
        <w:t>20. Minister właściwy do spraw energii określi, w drodze rozporządzenia, sposób obliczania współczynnika intensywności zużycia energii elektrycznej, biorąc pod uwagę zasady rachunkowości stosowane przez odbiorcę przemysłowego oraz koszty energii elektrycznej ponoszone przez tego odbiorcę.</w:t>
      </w:r>
    </w:p>
    <w:p w:rsidR="0037785A" w:rsidRPr="00F0188F" w:rsidRDefault="0037785A" w:rsidP="00F0188F">
      <w:pPr>
        <w:spacing w:before="100" w:beforeAutospacing="1" w:after="100" w:afterAutospacing="1" w:line="360" w:lineRule="auto"/>
        <w:jc w:val="both"/>
        <w:rPr>
          <w:b/>
          <w:lang w:eastAsia="pl-PL"/>
        </w:rPr>
      </w:pPr>
    </w:p>
    <w:p w:rsidR="00A7123B" w:rsidRPr="00853DCE" w:rsidRDefault="00A7123B" w:rsidP="00A7123B">
      <w:pPr>
        <w:spacing w:line="360" w:lineRule="auto"/>
        <w:contextualSpacing/>
        <w:jc w:val="both"/>
        <w:rPr>
          <w:b/>
        </w:rPr>
      </w:pPr>
      <w:r>
        <w:rPr>
          <w:b/>
        </w:rPr>
        <w:t>3</w:t>
      </w:r>
      <w:r w:rsidRPr="00853DCE">
        <w:rPr>
          <w:b/>
        </w:rPr>
        <w:t>. Uzasadnienie proponowanych zmian</w:t>
      </w:r>
      <w:r>
        <w:rPr>
          <w:b/>
        </w:rPr>
        <w:t xml:space="preserve"> legislacyjnych</w:t>
      </w:r>
    </w:p>
    <w:p w:rsidR="00A7123B" w:rsidRPr="00F0188F" w:rsidRDefault="00A7123B" w:rsidP="00A7123B">
      <w:pPr>
        <w:spacing w:line="360" w:lineRule="auto"/>
        <w:contextualSpacing/>
        <w:jc w:val="both"/>
        <w:rPr>
          <w:b/>
        </w:rPr>
      </w:pPr>
    </w:p>
    <w:p w:rsidR="00A7123B" w:rsidRPr="00F0188F" w:rsidRDefault="00A7123B" w:rsidP="00A7123B">
      <w:pPr>
        <w:spacing w:line="360" w:lineRule="auto"/>
        <w:contextualSpacing/>
        <w:jc w:val="both"/>
      </w:pPr>
      <w:r w:rsidRPr="00F0188F">
        <w:t xml:space="preserve">Polska, jako jedno z nielicznych państw członkowskich Unii Europejskiej (obok Belgii, Włoch i Szwecji), obciąża odbiorców energii elektrycznej w sposób bezpośredni kosztami </w:t>
      </w:r>
      <w:r w:rsidRPr="00F0188F">
        <w:lastRenderedPageBreak/>
        <w:t xml:space="preserve">związanymi ze wsparciem wysokosprawnej kogeneracji. Pozostałe państwa członkowskie opierają systemy wsparcia wytwórców energii w skojarzeniu na ulgach podatkowych oraz dopłatach bezpośrednich z budżetu państwa. </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Ze względu na specyfikę działalności prowadzonej przez najbardziej energochłonne polskie przedsiębiorstwa, w której ogół kosztów związanych z pozyskaniem i zużyciem energii elektrycznej może stanowić nawet kilkadziesiąt procent wartości dodanej brutto, obowiązek wsparcia wysokosprawnej kogeneracji stanowi dla nich bardzo istotne obciążenie. Dostrzegając ten problem w odniesieniu do obowiązku wsparcia energetyki odnawialnej, polski ustawodawca w 2015 r. zdecydował się na wprowadzenie mechanizmu ulgi w tym zakresie dla najbardziej energochłonnych odbiorców końcowych (odbiorców przemysłowych).</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Mając na uwadze konieczność ochrony międzynarodowej konkurencyjności polskiego przemysłu, w ocenie branży metalurgicznej niezbędne jest również wprowadzenie podobnego mechanizmu funkcjonującego obecnie systemu wsparcia kogeneracji.</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Zarówno w przypadku mechanizmu wsparcia odnawialnych źródeł energii oraz wysokosprawnej kogeneracji, które oparte są na świadectwach pochodzenia, ulga od obowiązku uzyskiwania i umarzania świadectw jest bez wątpienia najprostszym do zastosowania środkiem ograniczenia wpływu tych systemów na pozycję konkurencyjną najbardziej energochłonnych przedsiębiorstw.</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Mechanizm redukcji powyższego obowiązku w zakresie świadectw pochodzenia z kogeneracji byłby oparty na analogicznych zasadach do obowiązującego obecnie systemu ulg od obowiązków związanych ze wsparciem OZE, który został zaprojektowany w oparciu o Wytyczne Komisji Europejskiej w sprawie pomocy państwa na ochronę środowiska i cele związane z energią w latach 2014-2020.</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 xml:space="preserve">Nowy system ulg oparty byłby na obiektywnych i proporcjonalnych kryteriach. Do uzyskania ulgi uprawnieni byliby jedynie przedsiębiorcy z sektorów uznanych przez Komisję Europejską za najbardziej narażone na znaczące ryzyko ucieczki emisji, z kolei poziom należnej ulgi uzależniony byłby od wartości współczynnika energochłonności danego przedsiębiorstwa. </w:t>
      </w:r>
    </w:p>
    <w:p w:rsidR="00A7123B" w:rsidRPr="00F0188F" w:rsidRDefault="00A7123B" w:rsidP="00A7123B">
      <w:pPr>
        <w:spacing w:line="360" w:lineRule="auto"/>
        <w:contextualSpacing/>
        <w:jc w:val="both"/>
      </w:pPr>
    </w:p>
    <w:p w:rsidR="00A7123B" w:rsidRPr="00F0188F" w:rsidRDefault="00A7123B" w:rsidP="00A7123B">
      <w:pPr>
        <w:spacing w:line="360" w:lineRule="auto"/>
        <w:contextualSpacing/>
        <w:jc w:val="both"/>
      </w:pPr>
      <w:r w:rsidRPr="00F0188F">
        <w:t>Co istotne, wymogi proceduralne związane z ubieganiem się o ulgę w zakresie kogeneracji (np. terminy na złożenie odpowiednich oświadczeń i publikację wykazu odbiorców uprawnionych do ulgi czy obowiązek potwierdzenia prawidłowości wyliczenia współczynnika energochłonności przez biegłego rewidenta) odpowiadałyby wymogom związanym z ubieganiem się o ulgę OZE. W praktyce, obie procedury byłyby ze sobą powiązane, co w znacznym stopniu ograniczyłoby nakłady związane ze stosowaniem obu ulg zarówno po stronie odbiorców przemysłowych, jak i Urzędu Regulacji Energetyki.</w:t>
      </w:r>
    </w:p>
    <w:p w:rsidR="00A7123B" w:rsidRPr="00F0188F" w:rsidRDefault="00A7123B" w:rsidP="00A7123B">
      <w:pPr>
        <w:spacing w:line="360" w:lineRule="auto"/>
        <w:contextualSpacing/>
        <w:jc w:val="both"/>
      </w:pPr>
    </w:p>
    <w:p w:rsidR="00A7123B" w:rsidRPr="00F0188F" w:rsidRDefault="00A7123B" w:rsidP="00A7123B">
      <w:pPr>
        <w:spacing w:before="0" w:line="360" w:lineRule="auto"/>
        <w:jc w:val="both"/>
      </w:pPr>
      <w:r w:rsidRPr="00F0188F">
        <w:t>Należy zauważyć, że proponowany przez branżę metalurgiczną mechanizm miałby zastosowanie jedynie do 31 grudnia 2018 r. Od 1 stycznia 2019 r. planowane jest bowiem wprowadzenie systemu wsparcia kogeneracji opartego na aukcjach, funkcjonującego na zasadach zbliżonych do systemu wsparcia OZE przewidzianego w ustawie o odnawialnych źródłach energii. Na obecnym etapie prac nad nowym systemem wsparcia nie zostało jeszcze jednak przesądzone, czy system aukcyjny, podobnie jak w przypadku OZE, będzie finansowany przez odbiorców energii elektrycznej, czy przez państwo (np. z przychodów uzyskanych ze sprzedaży uprawnień do emisji CO</w:t>
      </w:r>
      <w:r w:rsidRPr="00F0188F">
        <w:rPr>
          <w:vertAlign w:val="subscript"/>
        </w:rPr>
        <w:t>2</w:t>
      </w:r>
      <w:r w:rsidRPr="00F0188F">
        <w:t xml:space="preserve">). </w:t>
      </w:r>
    </w:p>
    <w:p w:rsidR="00A7123B" w:rsidRPr="00F0188F" w:rsidRDefault="00A7123B" w:rsidP="00A7123B">
      <w:pPr>
        <w:spacing w:before="0" w:line="360" w:lineRule="auto"/>
        <w:jc w:val="both"/>
      </w:pPr>
    </w:p>
    <w:p w:rsidR="00A7123B" w:rsidRPr="00F0188F" w:rsidRDefault="00A7123B" w:rsidP="00A7123B">
      <w:pPr>
        <w:spacing w:before="0" w:line="360" w:lineRule="auto"/>
        <w:jc w:val="both"/>
      </w:pPr>
      <w:r w:rsidRPr="00F0188F">
        <w:t>Jeżeli w nowym systemie koszt wsparcia energetyki odnawialnej będą ponosić odbiorcy końcowi, redukcja związanych z tym obowiązków dla odbiorców przemysłowych mogłaby przyjąć kształt redukcji wysokości odpowiednika „opłaty OZE”. Natomiast przypadku wdrożenia drugiego rozwiązania, preferowanego przez branżę metalurgiczną, potrzeba wprowadzenia tego typu ulgi nie zaistnieje.</w:t>
      </w:r>
    </w:p>
    <w:p w:rsidR="00F0188F" w:rsidRPr="00F0188F" w:rsidRDefault="00F0188F" w:rsidP="00F0188F">
      <w:pPr>
        <w:spacing w:before="100" w:beforeAutospacing="1" w:after="100" w:afterAutospacing="1" w:line="360" w:lineRule="auto"/>
        <w:contextualSpacing/>
        <w:jc w:val="both"/>
      </w:pPr>
    </w:p>
    <w:p w:rsidR="006261EC" w:rsidRPr="00F0188F" w:rsidRDefault="006261EC" w:rsidP="00F0188F">
      <w:pPr>
        <w:spacing w:line="360" w:lineRule="auto"/>
      </w:pPr>
    </w:p>
    <w:sectPr w:rsidR="006261EC" w:rsidRPr="00F018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EY Gothic Cond Medium">
    <w:altName w:val="Franklin Gothic Medium Cond"/>
    <w:charset w:val="00"/>
    <w:family w:val="auto"/>
    <w:pitch w:val="variable"/>
    <w:sig w:usb0="00000001" w:usb1="00000040" w:usb2="00000000" w:usb3="00000000" w:csb0="00000009"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9037C8"/>
    <w:lvl w:ilvl="0">
      <w:start w:val="1"/>
      <w:numFmt w:val="decimal"/>
      <w:lvlText w:val="%1."/>
      <w:lvlJc w:val="left"/>
      <w:pPr>
        <w:tabs>
          <w:tab w:val="num" w:pos="1492"/>
        </w:tabs>
        <w:ind w:left="1492" w:hanging="360"/>
      </w:pPr>
    </w:lvl>
  </w:abstractNum>
  <w:abstractNum w:abstractNumId="1">
    <w:nsid w:val="FFFFFF7D"/>
    <w:multiLevelType w:val="singleLevel"/>
    <w:tmpl w:val="6D7EF908"/>
    <w:lvl w:ilvl="0">
      <w:start w:val="1"/>
      <w:numFmt w:val="decimal"/>
      <w:lvlText w:val="%1."/>
      <w:lvlJc w:val="left"/>
      <w:pPr>
        <w:tabs>
          <w:tab w:val="num" w:pos="1209"/>
        </w:tabs>
        <w:ind w:left="1209" w:hanging="360"/>
      </w:pPr>
    </w:lvl>
  </w:abstractNum>
  <w:abstractNum w:abstractNumId="2">
    <w:nsid w:val="FFFFFF7E"/>
    <w:multiLevelType w:val="singleLevel"/>
    <w:tmpl w:val="598845FC"/>
    <w:lvl w:ilvl="0">
      <w:start w:val="1"/>
      <w:numFmt w:val="decimal"/>
      <w:lvlText w:val="%1."/>
      <w:lvlJc w:val="left"/>
      <w:pPr>
        <w:tabs>
          <w:tab w:val="num" w:pos="926"/>
        </w:tabs>
        <w:ind w:left="926" w:hanging="360"/>
      </w:pPr>
    </w:lvl>
  </w:abstractNum>
  <w:abstractNum w:abstractNumId="3">
    <w:nsid w:val="FFFFFF7F"/>
    <w:multiLevelType w:val="singleLevel"/>
    <w:tmpl w:val="3B9E9A5E"/>
    <w:lvl w:ilvl="0">
      <w:start w:val="1"/>
      <w:numFmt w:val="decimal"/>
      <w:lvlText w:val="%1."/>
      <w:lvlJc w:val="left"/>
      <w:pPr>
        <w:tabs>
          <w:tab w:val="num" w:pos="643"/>
        </w:tabs>
        <w:ind w:left="643" w:hanging="360"/>
      </w:pPr>
    </w:lvl>
  </w:abstractNum>
  <w:abstractNum w:abstractNumId="4">
    <w:nsid w:val="FFFFFF80"/>
    <w:multiLevelType w:val="singleLevel"/>
    <w:tmpl w:val="F814B4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F859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683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A83F26"/>
    <w:lvl w:ilvl="0">
      <w:start w:val="1"/>
      <w:numFmt w:val="bullet"/>
      <w:pStyle w:val="Listapunktowana2"/>
      <w:lvlText w:val="-"/>
      <w:lvlJc w:val="left"/>
      <w:pPr>
        <w:tabs>
          <w:tab w:val="num" w:pos="1420"/>
        </w:tabs>
        <w:ind w:left="1420" w:hanging="360"/>
      </w:pPr>
      <w:rPr>
        <w:rFonts w:ascii="Times New Roman" w:hAnsi="Times New Roman" w:cs="Times New Roman" w:hint="default"/>
        <w:b w:val="0"/>
        <w:i w:val="0"/>
        <w:sz w:val="24"/>
      </w:rPr>
    </w:lvl>
  </w:abstractNum>
  <w:abstractNum w:abstractNumId="8">
    <w:nsid w:val="FFFFFF88"/>
    <w:multiLevelType w:val="singleLevel"/>
    <w:tmpl w:val="A4780964"/>
    <w:lvl w:ilvl="0">
      <w:start w:val="1"/>
      <w:numFmt w:val="decimal"/>
      <w:lvlText w:val="%1."/>
      <w:lvlJc w:val="left"/>
      <w:pPr>
        <w:tabs>
          <w:tab w:val="num" w:pos="360"/>
        </w:tabs>
        <w:ind w:left="360" w:hanging="360"/>
      </w:pPr>
    </w:lvl>
  </w:abstractNum>
  <w:abstractNum w:abstractNumId="9">
    <w:nsid w:val="FFFFFF89"/>
    <w:multiLevelType w:val="singleLevel"/>
    <w:tmpl w:val="CCAA148A"/>
    <w:lvl w:ilvl="0">
      <w:start w:val="1"/>
      <w:numFmt w:val="bullet"/>
      <w:pStyle w:val="Listapunktowana"/>
      <w:lvlText w:val=""/>
      <w:lvlJc w:val="left"/>
      <w:pPr>
        <w:tabs>
          <w:tab w:val="num" w:pos="1069"/>
        </w:tabs>
        <w:ind w:left="1069" w:hanging="360"/>
      </w:pPr>
      <w:rPr>
        <w:rFonts w:ascii="Wingdings" w:hAnsi="Wingdings" w:hint="default"/>
        <w:b w:val="0"/>
        <w:i/>
        <w:sz w:val="20"/>
      </w:rPr>
    </w:lvl>
  </w:abstractNum>
  <w:abstractNum w:abstractNumId="10">
    <w:nsid w:val="03A639A5"/>
    <w:multiLevelType w:val="multilevel"/>
    <w:tmpl w:val="BAE20E3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1">
    <w:nsid w:val="0749214B"/>
    <w:multiLevelType w:val="multilevel"/>
    <w:tmpl w:val="F35A55EE"/>
    <w:lvl w:ilvl="0">
      <w:start w:val="1"/>
      <w:numFmt w:val="none"/>
      <w:lvlText w:val=""/>
      <w:lvlJc w:val="left"/>
      <w:pPr>
        <w:tabs>
          <w:tab w:val="num" w:pos="36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2">
    <w:nsid w:val="167F3C51"/>
    <w:multiLevelType w:val="multilevel"/>
    <w:tmpl w:val="A46C6792"/>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3">
    <w:nsid w:val="298C199A"/>
    <w:multiLevelType w:val="multilevel"/>
    <w:tmpl w:val="13F4F18A"/>
    <w:lvl w:ilvl="0">
      <w:start w:val="1"/>
      <w:numFmt w:val="upperRoman"/>
      <w:lvlText w:val="%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720"/>
        </w:tabs>
        <w:ind w:left="720" w:hanging="432"/>
      </w:pPr>
      <w:rPr>
        <w:rFonts w:hint="default"/>
      </w:rPr>
    </w:lvl>
    <w:lvl w:ilvl="3">
      <w:start w:val="1"/>
      <w:numFmt w:val="decimal"/>
      <w:lvlText w:val="%2.%3.%4"/>
      <w:lvlJc w:val="left"/>
      <w:pPr>
        <w:tabs>
          <w:tab w:val="num" w:pos="1429"/>
        </w:tabs>
        <w:ind w:left="709" w:firstLine="0"/>
      </w:pPr>
      <w:rPr>
        <w:rFonts w:hint="default"/>
      </w:rPr>
    </w:lvl>
    <w:lvl w:ilvl="4">
      <w:start w:val="1"/>
      <w:numFmt w:val="lowerLetter"/>
      <w:lvlText w:val="%5)"/>
      <w:lvlJc w:val="left"/>
      <w:pPr>
        <w:tabs>
          <w:tab w:val="num" w:pos="1069"/>
        </w:tabs>
        <w:ind w:left="0" w:firstLine="709"/>
      </w:pPr>
      <w:rPr>
        <w:rFonts w:hint="default"/>
      </w:rPr>
    </w:lvl>
    <w:lvl w:ilvl="5">
      <w:start w:val="1"/>
      <w:numFmt w:val="lowerRoman"/>
      <w:lvlText w:val="%6."/>
      <w:lvlJc w:val="left"/>
      <w:pPr>
        <w:tabs>
          <w:tab w:val="num" w:pos="1717"/>
        </w:tabs>
        <w:ind w:left="1717" w:hanging="709"/>
      </w:pPr>
      <w:rPr>
        <w:rFonts w:hint="default"/>
      </w:rPr>
    </w:lvl>
    <w:lvl w:ilvl="6">
      <w:start w:val="1"/>
      <w:numFmt w:val="lowerRoman"/>
      <w:lvlText w:val="%7."/>
      <w:lvlJc w:val="left"/>
      <w:pPr>
        <w:tabs>
          <w:tab w:val="num" w:pos="1717"/>
        </w:tabs>
        <w:ind w:left="1717" w:hanging="709"/>
      </w:pPr>
      <w:rPr>
        <w:rFonts w:hint="default"/>
      </w:rPr>
    </w:lvl>
    <w:lvl w:ilvl="7">
      <w:start w:val="1"/>
      <w:numFmt w:val="lowerRoman"/>
      <w:lvlText w:val="%8."/>
      <w:lvlJc w:val="left"/>
      <w:pPr>
        <w:tabs>
          <w:tab w:val="num" w:pos="1717"/>
        </w:tabs>
        <w:ind w:left="1717" w:hanging="709"/>
      </w:pPr>
      <w:rPr>
        <w:rFonts w:hint="default"/>
      </w:rPr>
    </w:lvl>
    <w:lvl w:ilvl="8">
      <w:start w:val="1"/>
      <w:numFmt w:val="lowerRoman"/>
      <w:lvlText w:val="%9."/>
      <w:lvlJc w:val="left"/>
      <w:pPr>
        <w:tabs>
          <w:tab w:val="num" w:pos="1717"/>
        </w:tabs>
        <w:ind w:left="1717" w:hanging="709"/>
      </w:pPr>
      <w:rPr>
        <w:rFonts w:hint="default"/>
      </w:rPr>
    </w:lvl>
  </w:abstractNum>
  <w:abstractNum w:abstractNumId="14">
    <w:nsid w:val="53DE3BA8"/>
    <w:multiLevelType w:val="multilevel"/>
    <w:tmpl w:val="A2D2FA3A"/>
    <w:lvl w:ilvl="0">
      <w:start w:val="1"/>
      <w:numFmt w:val="upperRoman"/>
      <w:pStyle w:val="Nagwek1"/>
      <w:lvlText w:val="%1."/>
      <w:lvlJc w:val="left"/>
      <w:pPr>
        <w:tabs>
          <w:tab w:val="num" w:pos="-288"/>
        </w:tabs>
        <w:ind w:left="-1008" w:firstLine="0"/>
      </w:pPr>
      <w:rPr>
        <w:rFonts w:hint="default"/>
      </w:rPr>
    </w:lvl>
    <w:lvl w:ilvl="1">
      <w:start w:val="1"/>
      <w:numFmt w:val="decimal"/>
      <w:pStyle w:val="Nagwek2"/>
      <w:lvlText w:val="%2."/>
      <w:lvlJc w:val="left"/>
      <w:pPr>
        <w:tabs>
          <w:tab w:val="num" w:pos="-648"/>
        </w:tabs>
        <w:ind w:left="-1008" w:firstLine="0"/>
      </w:pPr>
      <w:rPr>
        <w:rFonts w:hint="default"/>
      </w:rPr>
    </w:lvl>
    <w:lvl w:ilvl="2">
      <w:start w:val="1"/>
      <w:numFmt w:val="decimal"/>
      <w:pStyle w:val="Nagwek3"/>
      <w:lvlText w:val="%2.%3."/>
      <w:lvlJc w:val="left"/>
      <w:pPr>
        <w:tabs>
          <w:tab w:val="num" w:pos="0"/>
        </w:tabs>
        <w:ind w:left="-288" w:hanging="432"/>
      </w:pPr>
      <w:rPr>
        <w:rFonts w:hint="default"/>
      </w:rPr>
    </w:lvl>
    <w:lvl w:ilvl="3">
      <w:start w:val="1"/>
      <w:numFmt w:val="decimal"/>
      <w:pStyle w:val="Nagwek4"/>
      <w:lvlText w:val="%2.%3.%4."/>
      <w:lvlJc w:val="left"/>
      <w:pPr>
        <w:tabs>
          <w:tab w:val="num" w:pos="781"/>
        </w:tabs>
        <w:ind w:left="-299" w:firstLine="0"/>
      </w:pPr>
      <w:rPr>
        <w:rFonts w:hint="default"/>
      </w:rPr>
    </w:lvl>
    <w:lvl w:ilvl="4">
      <w:start w:val="1"/>
      <w:numFmt w:val="decimal"/>
      <w:pStyle w:val="Nagwek5"/>
      <w:lvlText w:val="%2.%3.%4.%5."/>
      <w:lvlJc w:val="left"/>
      <w:pPr>
        <w:tabs>
          <w:tab w:val="num" w:pos="1141"/>
        </w:tabs>
        <w:ind w:left="-1008" w:firstLine="709"/>
      </w:pPr>
      <w:rPr>
        <w:rFonts w:hint="default"/>
        <w:b/>
        <w:i w:val="0"/>
      </w:rPr>
    </w:lvl>
    <w:lvl w:ilvl="5">
      <w:start w:val="1"/>
      <w:numFmt w:val="upperLetter"/>
      <w:pStyle w:val="Nagwek6"/>
      <w:lvlText w:val="%6."/>
      <w:lvlJc w:val="left"/>
      <w:pPr>
        <w:tabs>
          <w:tab w:val="num" w:pos="709"/>
        </w:tabs>
        <w:ind w:left="709" w:hanging="709"/>
      </w:pPr>
      <w:rPr>
        <w:rFonts w:hint="default"/>
        <w:b/>
        <w:i w:val="0"/>
      </w:rPr>
    </w:lvl>
    <w:lvl w:ilvl="6">
      <w:start w:val="1"/>
      <w:numFmt w:val="lowerRoman"/>
      <w:pStyle w:val="Nagwek7"/>
      <w:lvlText w:val="%7."/>
      <w:lvlJc w:val="left"/>
      <w:pPr>
        <w:tabs>
          <w:tab w:val="num" w:pos="709"/>
        </w:tabs>
        <w:ind w:left="709" w:hanging="709"/>
      </w:pPr>
      <w:rPr>
        <w:rFonts w:hint="default"/>
      </w:rPr>
    </w:lvl>
    <w:lvl w:ilvl="7">
      <w:start w:val="1"/>
      <w:numFmt w:val="lowerRoman"/>
      <w:pStyle w:val="Nagwek8"/>
      <w:lvlText w:val="%8."/>
      <w:lvlJc w:val="left"/>
      <w:pPr>
        <w:tabs>
          <w:tab w:val="num" w:pos="709"/>
        </w:tabs>
        <w:ind w:left="709" w:hanging="709"/>
      </w:pPr>
      <w:rPr>
        <w:rFonts w:hint="default"/>
      </w:rPr>
    </w:lvl>
    <w:lvl w:ilvl="8">
      <w:start w:val="1"/>
      <w:numFmt w:val="lowerRoman"/>
      <w:pStyle w:val="Nagwek9"/>
      <w:lvlText w:val="%9."/>
      <w:lvlJc w:val="left"/>
      <w:pPr>
        <w:tabs>
          <w:tab w:val="num" w:pos="709"/>
        </w:tabs>
        <w:ind w:left="709" w:hanging="709"/>
      </w:pPr>
      <w:rPr>
        <w:rFonts w:hint="default"/>
      </w:rPr>
    </w:lvl>
  </w:abstractNum>
  <w:abstractNum w:abstractNumId="15">
    <w:nsid w:val="7B123C63"/>
    <w:multiLevelType w:val="hybridMultilevel"/>
    <w:tmpl w:val="FF3C4D24"/>
    <w:lvl w:ilvl="0" w:tplc="CD48CDFE">
      <w:start w:val="1"/>
      <w:numFmt w:val="bullet"/>
      <w:lvlText w:val="-"/>
      <w:lvlJc w:val="left"/>
      <w:pPr>
        <w:tabs>
          <w:tab w:val="num" w:pos="1069"/>
        </w:tabs>
        <w:ind w:left="1069" w:hanging="360"/>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88F"/>
    <w:rsid w:val="0037785A"/>
    <w:rsid w:val="003F06CA"/>
    <w:rsid w:val="00624722"/>
    <w:rsid w:val="006261EC"/>
    <w:rsid w:val="007E4844"/>
    <w:rsid w:val="00862945"/>
    <w:rsid w:val="0093572A"/>
    <w:rsid w:val="00A7123B"/>
    <w:rsid w:val="00CC05C0"/>
    <w:rsid w:val="00F0188F"/>
    <w:rsid w:val="00FB5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188F"/>
    <w:pPr>
      <w:spacing w:before="120"/>
    </w:pPr>
    <w:rPr>
      <w:sz w:val="24"/>
      <w:szCs w:val="24"/>
      <w:lang w:eastAsia="en-US"/>
    </w:rPr>
  </w:style>
  <w:style w:type="paragraph" w:styleId="Nagwek1">
    <w:name w:val="heading 1"/>
    <w:basedOn w:val="Normalny"/>
    <w:next w:val="Normalny"/>
    <w:qFormat/>
    <w:pPr>
      <w:keepNext/>
      <w:numPr>
        <w:numId w:val="15"/>
      </w:numPr>
      <w:spacing w:before="240" w:after="360"/>
      <w:outlineLvl w:val="0"/>
    </w:pPr>
    <w:rPr>
      <w:rFonts w:ascii="EY Gothic Cond Medium" w:hAnsi="EY Gothic Cond Medium" w:cs="Arial"/>
      <w:b/>
      <w:bCs/>
      <w:sz w:val="48"/>
      <w:szCs w:val="32"/>
    </w:rPr>
  </w:style>
  <w:style w:type="paragraph" w:styleId="Nagwek2">
    <w:name w:val="heading 2"/>
    <w:basedOn w:val="Normalny"/>
    <w:next w:val="Normalny"/>
    <w:qFormat/>
    <w:pPr>
      <w:keepNext/>
      <w:numPr>
        <w:ilvl w:val="1"/>
        <w:numId w:val="15"/>
      </w:numPr>
      <w:spacing w:before="240" w:after="360"/>
      <w:outlineLvl w:val="1"/>
    </w:pPr>
    <w:rPr>
      <w:rFonts w:ascii="EY Gothic Cond Medium" w:hAnsi="EY Gothic Cond Medium" w:cs="Arial"/>
      <w:bCs/>
      <w:iCs/>
      <w:sz w:val="32"/>
      <w:szCs w:val="28"/>
    </w:rPr>
  </w:style>
  <w:style w:type="paragraph" w:styleId="Nagwek3">
    <w:name w:val="heading 3"/>
    <w:basedOn w:val="Normalny"/>
    <w:next w:val="Normalny"/>
    <w:qFormat/>
    <w:pPr>
      <w:keepNext/>
      <w:numPr>
        <w:ilvl w:val="2"/>
        <w:numId w:val="15"/>
      </w:numPr>
      <w:spacing w:before="240" w:after="360"/>
      <w:outlineLvl w:val="2"/>
    </w:pPr>
    <w:rPr>
      <w:rFonts w:ascii="EY Gothic Cond Medium" w:hAnsi="EY Gothic Cond Medium" w:cs="Arial"/>
      <w:bCs/>
      <w:sz w:val="28"/>
      <w:szCs w:val="26"/>
    </w:rPr>
  </w:style>
  <w:style w:type="paragraph" w:styleId="Nagwek4">
    <w:name w:val="heading 4"/>
    <w:basedOn w:val="Normalny"/>
    <w:next w:val="Normalny"/>
    <w:qFormat/>
    <w:pPr>
      <w:keepNext/>
      <w:numPr>
        <w:ilvl w:val="3"/>
        <w:numId w:val="15"/>
      </w:numPr>
      <w:spacing w:before="240" w:after="240"/>
      <w:outlineLvl w:val="3"/>
    </w:pPr>
    <w:rPr>
      <w:rFonts w:ascii="EY Gothic Cond Medium" w:hAnsi="EY Gothic Cond Medium"/>
      <w:bCs/>
      <w:sz w:val="26"/>
      <w:szCs w:val="28"/>
    </w:rPr>
  </w:style>
  <w:style w:type="paragraph" w:styleId="Nagwek5">
    <w:name w:val="heading 5"/>
    <w:basedOn w:val="Normalny"/>
    <w:next w:val="Normalny"/>
    <w:qFormat/>
    <w:pPr>
      <w:keepNext/>
      <w:numPr>
        <w:ilvl w:val="4"/>
        <w:numId w:val="15"/>
      </w:numPr>
      <w:spacing w:before="240" w:after="240"/>
      <w:outlineLvl w:val="4"/>
    </w:pPr>
    <w:rPr>
      <w:bCs/>
      <w:iCs/>
      <w:szCs w:val="26"/>
    </w:rPr>
  </w:style>
  <w:style w:type="paragraph" w:styleId="Nagwek6">
    <w:name w:val="heading 6"/>
    <w:basedOn w:val="Normalny"/>
    <w:next w:val="Normalny"/>
    <w:qFormat/>
    <w:pPr>
      <w:keepNext/>
      <w:numPr>
        <w:ilvl w:val="5"/>
        <w:numId w:val="15"/>
      </w:numPr>
      <w:tabs>
        <w:tab w:val="left" w:pos="1208"/>
      </w:tabs>
      <w:spacing w:after="120"/>
      <w:outlineLvl w:val="5"/>
    </w:pPr>
    <w:rPr>
      <w:bCs/>
      <w:szCs w:val="22"/>
    </w:rPr>
  </w:style>
  <w:style w:type="paragraph" w:styleId="Nagwek7">
    <w:name w:val="heading 7"/>
    <w:basedOn w:val="Normalny"/>
    <w:next w:val="Normalny"/>
    <w:qFormat/>
    <w:pPr>
      <w:keepNext/>
      <w:numPr>
        <w:ilvl w:val="6"/>
        <w:numId w:val="15"/>
      </w:numPr>
      <w:spacing w:before="60"/>
      <w:outlineLvl w:val="6"/>
    </w:pPr>
    <w:rPr>
      <w:i/>
      <w:sz w:val="22"/>
    </w:rPr>
  </w:style>
  <w:style w:type="paragraph" w:styleId="Nagwek8">
    <w:name w:val="heading 8"/>
    <w:basedOn w:val="Normalny"/>
    <w:next w:val="Normalny"/>
    <w:qFormat/>
    <w:pPr>
      <w:keepNext/>
      <w:numPr>
        <w:ilvl w:val="7"/>
        <w:numId w:val="15"/>
      </w:numPr>
      <w:spacing w:before="60"/>
      <w:outlineLvl w:val="7"/>
    </w:pPr>
    <w:rPr>
      <w:i/>
      <w:iCs/>
      <w:sz w:val="22"/>
    </w:rPr>
  </w:style>
  <w:style w:type="paragraph" w:styleId="Nagwek9">
    <w:name w:val="heading 9"/>
    <w:basedOn w:val="Normalny"/>
    <w:next w:val="Normalny"/>
    <w:qFormat/>
    <w:pPr>
      <w:keepNext/>
      <w:numPr>
        <w:ilvl w:val="8"/>
        <w:numId w:val="15"/>
      </w:numPr>
      <w:spacing w:before="60"/>
      <w:outlineLvl w:val="8"/>
    </w:pPr>
    <w:rPr>
      <w:rFonts w:cs="Arial"/>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semiHidden/>
    <w:pPr>
      <w:numPr>
        <w:numId w:val="3"/>
      </w:numPr>
      <w:jc w:val="both"/>
    </w:pPr>
  </w:style>
  <w:style w:type="paragraph" w:styleId="Listapunktowana2">
    <w:name w:val="List Bullet 2"/>
    <w:basedOn w:val="Normalny"/>
    <w:semiHidden/>
    <w:pPr>
      <w:numPr>
        <w:numId w:val="4"/>
      </w:numPr>
      <w:jc w:val="both"/>
    </w:pPr>
  </w:style>
  <w:style w:type="paragraph" w:styleId="Nagwekwykazurde">
    <w:name w:val="toa heading"/>
    <w:basedOn w:val="Normalny"/>
    <w:next w:val="Normalny"/>
    <w:semiHidden/>
    <w:pPr>
      <w:spacing w:after="1320"/>
    </w:pPr>
    <w:rPr>
      <w:rFonts w:ascii="EY Gothic Cond Medium" w:hAnsi="EY Gothic Cond Medium" w:cs="Arial"/>
      <w:bCs/>
      <w:sz w:val="60"/>
    </w:rPr>
  </w:style>
  <w:style w:type="paragraph" w:styleId="Spistreci1">
    <w:name w:val="toc 1"/>
    <w:basedOn w:val="Normalny"/>
    <w:next w:val="Normalny"/>
    <w:semiHidden/>
    <w:pPr>
      <w:tabs>
        <w:tab w:val="left" w:pos="357"/>
        <w:tab w:val="right" w:leader="dot" w:pos="9072"/>
      </w:tabs>
      <w:ind w:left="357" w:hanging="357"/>
    </w:pPr>
    <w:rPr>
      <w:rFonts w:ascii="EY Gothic Cond Medium" w:hAnsi="EY Gothic Cond Medium"/>
      <w:sz w:val="28"/>
    </w:rPr>
  </w:style>
  <w:style w:type="paragraph" w:styleId="Spistreci2">
    <w:name w:val="toc 2"/>
    <w:basedOn w:val="Normalny"/>
    <w:next w:val="Normalny"/>
    <w:semiHidden/>
    <w:pPr>
      <w:tabs>
        <w:tab w:val="left" w:pos="709"/>
        <w:tab w:val="right" w:leader="dot" w:pos="9072"/>
      </w:tabs>
      <w:spacing w:before="80"/>
      <w:ind w:left="714" w:hanging="357"/>
    </w:pPr>
    <w:rPr>
      <w:rFonts w:ascii="EY Gothic Cond Medium" w:hAnsi="EY Gothic Cond Medium"/>
      <w:sz w:val="26"/>
    </w:rPr>
  </w:style>
  <w:style w:type="paragraph" w:styleId="Spistreci3">
    <w:name w:val="toc 3"/>
    <w:basedOn w:val="Normalny"/>
    <w:next w:val="Normalny"/>
    <w:semiHidden/>
    <w:pPr>
      <w:tabs>
        <w:tab w:val="left" w:pos="1208"/>
        <w:tab w:val="right" w:leader="dot" w:pos="9072"/>
      </w:tabs>
      <w:spacing w:before="60"/>
      <w:ind w:left="1208" w:hanging="499"/>
    </w:pPr>
    <w:rPr>
      <w:rFonts w:ascii="EY Gothic Cond Medium" w:hAnsi="EY Gothic Cond Medium"/>
    </w:rPr>
  </w:style>
  <w:style w:type="paragraph" w:styleId="Spistreci4">
    <w:name w:val="toc 4"/>
    <w:basedOn w:val="Normalny"/>
    <w:next w:val="Normalny"/>
    <w:semiHidden/>
    <w:pPr>
      <w:tabs>
        <w:tab w:val="left" w:pos="1775"/>
        <w:tab w:val="right" w:leader="dot" w:pos="9072"/>
      </w:tabs>
      <w:spacing w:before="40"/>
      <w:ind w:left="1775" w:hanging="567"/>
    </w:pPr>
    <w:rPr>
      <w:rFonts w:ascii="EY Gothic Cond Medium" w:hAnsi="EY Gothic Cond Medium"/>
      <w:sz w:val="22"/>
    </w:rPr>
  </w:style>
  <w:style w:type="paragraph" w:styleId="Spistreci5">
    <w:name w:val="toc 5"/>
    <w:basedOn w:val="Normalny"/>
    <w:next w:val="Normalny"/>
    <w:semiHidden/>
    <w:pPr>
      <w:tabs>
        <w:tab w:val="left" w:pos="2410"/>
        <w:tab w:val="right" w:leader="dot" w:pos="9072"/>
      </w:tabs>
      <w:spacing w:before="20"/>
      <w:ind w:left="2416" w:hanging="641"/>
    </w:pPr>
    <w:rPr>
      <w:rFonts w:ascii="EY Gothic Cond Medium" w:hAnsi="EY Gothic Cond Medium"/>
      <w:sz w:val="20"/>
    </w:rPr>
  </w:style>
  <w:style w:type="paragraph" w:styleId="Akapitzlist">
    <w:name w:val="List Paragraph"/>
    <w:basedOn w:val="Normalny"/>
    <w:uiPriority w:val="34"/>
    <w:qFormat/>
    <w:rsid w:val="00F0188F"/>
    <w:pPr>
      <w:ind w:left="720"/>
      <w:contextualSpacing/>
    </w:pPr>
  </w:style>
  <w:style w:type="paragraph" w:styleId="Tekstdymka">
    <w:name w:val="Balloon Text"/>
    <w:basedOn w:val="Normalny"/>
    <w:link w:val="TekstdymkaZnak"/>
    <w:uiPriority w:val="99"/>
    <w:semiHidden/>
    <w:unhideWhenUsed/>
    <w:rsid w:val="007E4844"/>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844"/>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0188F"/>
    <w:pPr>
      <w:spacing w:before="120"/>
    </w:pPr>
    <w:rPr>
      <w:sz w:val="24"/>
      <w:szCs w:val="24"/>
      <w:lang w:eastAsia="en-US"/>
    </w:rPr>
  </w:style>
  <w:style w:type="paragraph" w:styleId="Nagwek1">
    <w:name w:val="heading 1"/>
    <w:basedOn w:val="Normalny"/>
    <w:next w:val="Normalny"/>
    <w:qFormat/>
    <w:pPr>
      <w:keepNext/>
      <w:numPr>
        <w:numId w:val="15"/>
      </w:numPr>
      <w:spacing w:before="240" w:after="360"/>
      <w:outlineLvl w:val="0"/>
    </w:pPr>
    <w:rPr>
      <w:rFonts w:ascii="EY Gothic Cond Medium" w:hAnsi="EY Gothic Cond Medium" w:cs="Arial"/>
      <w:b/>
      <w:bCs/>
      <w:sz w:val="48"/>
      <w:szCs w:val="32"/>
    </w:rPr>
  </w:style>
  <w:style w:type="paragraph" w:styleId="Nagwek2">
    <w:name w:val="heading 2"/>
    <w:basedOn w:val="Normalny"/>
    <w:next w:val="Normalny"/>
    <w:qFormat/>
    <w:pPr>
      <w:keepNext/>
      <w:numPr>
        <w:ilvl w:val="1"/>
        <w:numId w:val="15"/>
      </w:numPr>
      <w:spacing w:before="240" w:after="360"/>
      <w:outlineLvl w:val="1"/>
    </w:pPr>
    <w:rPr>
      <w:rFonts w:ascii="EY Gothic Cond Medium" w:hAnsi="EY Gothic Cond Medium" w:cs="Arial"/>
      <w:bCs/>
      <w:iCs/>
      <w:sz w:val="32"/>
      <w:szCs w:val="28"/>
    </w:rPr>
  </w:style>
  <w:style w:type="paragraph" w:styleId="Nagwek3">
    <w:name w:val="heading 3"/>
    <w:basedOn w:val="Normalny"/>
    <w:next w:val="Normalny"/>
    <w:qFormat/>
    <w:pPr>
      <w:keepNext/>
      <w:numPr>
        <w:ilvl w:val="2"/>
        <w:numId w:val="15"/>
      </w:numPr>
      <w:spacing w:before="240" w:after="360"/>
      <w:outlineLvl w:val="2"/>
    </w:pPr>
    <w:rPr>
      <w:rFonts w:ascii="EY Gothic Cond Medium" w:hAnsi="EY Gothic Cond Medium" w:cs="Arial"/>
      <w:bCs/>
      <w:sz w:val="28"/>
      <w:szCs w:val="26"/>
    </w:rPr>
  </w:style>
  <w:style w:type="paragraph" w:styleId="Nagwek4">
    <w:name w:val="heading 4"/>
    <w:basedOn w:val="Normalny"/>
    <w:next w:val="Normalny"/>
    <w:qFormat/>
    <w:pPr>
      <w:keepNext/>
      <w:numPr>
        <w:ilvl w:val="3"/>
        <w:numId w:val="15"/>
      </w:numPr>
      <w:spacing w:before="240" w:after="240"/>
      <w:outlineLvl w:val="3"/>
    </w:pPr>
    <w:rPr>
      <w:rFonts w:ascii="EY Gothic Cond Medium" w:hAnsi="EY Gothic Cond Medium"/>
      <w:bCs/>
      <w:sz w:val="26"/>
      <w:szCs w:val="28"/>
    </w:rPr>
  </w:style>
  <w:style w:type="paragraph" w:styleId="Nagwek5">
    <w:name w:val="heading 5"/>
    <w:basedOn w:val="Normalny"/>
    <w:next w:val="Normalny"/>
    <w:qFormat/>
    <w:pPr>
      <w:keepNext/>
      <w:numPr>
        <w:ilvl w:val="4"/>
        <w:numId w:val="15"/>
      </w:numPr>
      <w:spacing w:before="240" w:after="240"/>
      <w:outlineLvl w:val="4"/>
    </w:pPr>
    <w:rPr>
      <w:bCs/>
      <w:iCs/>
      <w:szCs w:val="26"/>
    </w:rPr>
  </w:style>
  <w:style w:type="paragraph" w:styleId="Nagwek6">
    <w:name w:val="heading 6"/>
    <w:basedOn w:val="Normalny"/>
    <w:next w:val="Normalny"/>
    <w:qFormat/>
    <w:pPr>
      <w:keepNext/>
      <w:numPr>
        <w:ilvl w:val="5"/>
        <w:numId w:val="15"/>
      </w:numPr>
      <w:tabs>
        <w:tab w:val="left" w:pos="1208"/>
      </w:tabs>
      <w:spacing w:after="120"/>
      <w:outlineLvl w:val="5"/>
    </w:pPr>
    <w:rPr>
      <w:bCs/>
      <w:szCs w:val="22"/>
    </w:rPr>
  </w:style>
  <w:style w:type="paragraph" w:styleId="Nagwek7">
    <w:name w:val="heading 7"/>
    <w:basedOn w:val="Normalny"/>
    <w:next w:val="Normalny"/>
    <w:qFormat/>
    <w:pPr>
      <w:keepNext/>
      <w:numPr>
        <w:ilvl w:val="6"/>
        <w:numId w:val="15"/>
      </w:numPr>
      <w:spacing w:before="60"/>
      <w:outlineLvl w:val="6"/>
    </w:pPr>
    <w:rPr>
      <w:i/>
      <w:sz w:val="22"/>
    </w:rPr>
  </w:style>
  <w:style w:type="paragraph" w:styleId="Nagwek8">
    <w:name w:val="heading 8"/>
    <w:basedOn w:val="Normalny"/>
    <w:next w:val="Normalny"/>
    <w:qFormat/>
    <w:pPr>
      <w:keepNext/>
      <w:numPr>
        <w:ilvl w:val="7"/>
        <w:numId w:val="15"/>
      </w:numPr>
      <w:spacing w:before="60"/>
      <w:outlineLvl w:val="7"/>
    </w:pPr>
    <w:rPr>
      <w:i/>
      <w:iCs/>
      <w:sz w:val="22"/>
    </w:rPr>
  </w:style>
  <w:style w:type="paragraph" w:styleId="Nagwek9">
    <w:name w:val="heading 9"/>
    <w:basedOn w:val="Normalny"/>
    <w:next w:val="Normalny"/>
    <w:qFormat/>
    <w:pPr>
      <w:keepNext/>
      <w:numPr>
        <w:ilvl w:val="8"/>
        <w:numId w:val="15"/>
      </w:numPr>
      <w:spacing w:before="60"/>
      <w:outlineLvl w:val="8"/>
    </w:pPr>
    <w:rPr>
      <w:rFonts w:cs="Arial"/>
      <w: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semiHidden/>
    <w:pPr>
      <w:numPr>
        <w:numId w:val="3"/>
      </w:numPr>
      <w:jc w:val="both"/>
    </w:pPr>
  </w:style>
  <w:style w:type="paragraph" w:styleId="Listapunktowana2">
    <w:name w:val="List Bullet 2"/>
    <w:basedOn w:val="Normalny"/>
    <w:semiHidden/>
    <w:pPr>
      <w:numPr>
        <w:numId w:val="4"/>
      </w:numPr>
      <w:jc w:val="both"/>
    </w:pPr>
  </w:style>
  <w:style w:type="paragraph" w:styleId="Nagwekwykazurde">
    <w:name w:val="toa heading"/>
    <w:basedOn w:val="Normalny"/>
    <w:next w:val="Normalny"/>
    <w:semiHidden/>
    <w:pPr>
      <w:spacing w:after="1320"/>
    </w:pPr>
    <w:rPr>
      <w:rFonts w:ascii="EY Gothic Cond Medium" w:hAnsi="EY Gothic Cond Medium" w:cs="Arial"/>
      <w:bCs/>
      <w:sz w:val="60"/>
    </w:rPr>
  </w:style>
  <w:style w:type="paragraph" w:styleId="Spistreci1">
    <w:name w:val="toc 1"/>
    <w:basedOn w:val="Normalny"/>
    <w:next w:val="Normalny"/>
    <w:semiHidden/>
    <w:pPr>
      <w:tabs>
        <w:tab w:val="left" w:pos="357"/>
        <w:tab w:val="right" w:leader="dot" w:pos="9072"/>
      </w:tabs>
      <w:ind w:left="357" w:hanging="357"/>
    </w:pPr>
    <w:rPr>
      <w:rFonts w:ascii="EY Gothic Cond Medium" w:hAnsi="EY Gothic Cond Medium"/>
      <w:sz w:val="28"/>
    </w:rPr>
  </w:style>
  <w:style w:type="paragraph" w:styleId="Spistreci2">
    <w:name w:val="toc 2"/>
    <w:basedOn w:val="Normalny"/>
    <w:next w:val="Normalny"/>
    <w:semiHidden/>
    <w:pPr>
      <w:tabs>
        <w:tab w:val="left" w:pos="709"/>
        <w:tab w:val="right" w:leader="dot" w:pos="9072"/>
      </w:tabs>
      <w:spacing w:before="80"/>
      <w:ind w:left="714" w:hanging="357"/>
    </w:pPr>
    <w:rPr>
      <w:rFonts w:ascii="EY Gothic Cond Medium" w:hAnsi="EY Gothic Cond Medium"/>
      <w:sz w:val="26"/>
    </w:rPr>
  </w:style>
  <w:style w:type="paragraph" w:styleId="Spistreci3">
    <w:name w:val="toc 3"/>
    <w:basedOn w:val="Normalny"/>
    <w:next w:val="Normalny"/>
    <w:semiHidden/>
    <w:pPr>
      <w:tabs>
        <w:tab w:val="left" w:pos="1208"/>
        <w:tab w:val="right" w:leader="dot" w:pos="9072"/>
      </w:tabs>
      <w:spacing w:before="60"/>
      <w:ind w:left="1208" w:hanging="499"/>
    </w:pPr>
    <w:rPr>
      <w:rFonts w:ascii="EY Gothic Cond Medium" w:hAnsi="EY Gothic Cond Medium"/>
    </w:rPr>
  </w:style>
  <w:style w:type="paragraph" w:styleId="Spistreci4">
    <w:name w:val="toc 4"/>
    <w:basedOn w:val="Normalny"/>
    <w:next w:val="Normalny"/>
    <w:semiHidden/>
    <w:pPr>
      <w:tabs>
        <w:tab w:val="left" w:pos="1775"/>
        <w:tab w:val="right" w:leader="dot" w:pos="9072"/>
      </w:tabs>
      <w:spacing w:before="40"/>
      <w:ind w:left="1775" w:hanging="567"/>
    </w:pPr>
    <w:rPr>
      <w:rFonts w:ascii="EY Gothic Cond Medium" w:hAnsi="EY Gothic Cond Medium"/>
      <w:sz w:val="22"/>
    </w:rPr>
  </w:style>
  <w:style w:type="paragraph" w:styleId="Spistreci5">
    <w:name w:val="toc 5"/>
    <w:basedOn w:val="Normalny"/>
    <w:next w:val="Normalny"/>
    <w:semiHidden/>
    <w:pPr>
      <w:tabs>
        <w:tab w:val="left" w:pos="2410"/>
        <w:tab w:val="right" w:leader="dot" w:pos="9072"/>
      </w:tabs>
      <w:spacing w:before="20"/>
      <w:ind w:left="2416" w:hanging="641"/>
    </w:pPr>
    <w:rPr>
      <w:rFonts w:ascii="EY Gothic Cond Medium" w:hAnsi="EY Gothic Cond Medium"/>
      <w:sz w:val="20"/>
    </w:rPr>
  </w:style>
  <w:style w:type="paragraph" w:styleId="Akapitzlist">
    <w:name w:val="List Paragraph"/>
    <w:basedOn w:val="Normalny"/>
    <w:uiPriority w:val="34"/>
    <w:qFormat/>
    <w:rsid w:val="00F0188F"/>
    <w:pPr>
      <w:ind w:left="720"/>
      <w:contextualSpacing/>
    </w:pPr>
  </w:style>
  <w:style w:type="paragraph" w:styleId="Tekstdymka">
    <w:name w:val="Balloon Text"/>
    <w:basedOn w:val="Normalny"/>
    <w:link w:val="TekstdymkaZnak"/>
    <w:uiPriority w:val="99"/>
    <w:semiHidden/>
    <w:unhideWhenUsed/>
    <w:rsid w:val="007E4844"/>
    <w:pPr>
      <w:spacing w:before="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484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p.legalis.pl/document-view.seam?documentId=mfrxilrsgiydknjsgm2teltqmfyc4mrxguztomz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galis.pl/document-view.seam?documentId=mfrxilrsguydonboobqxalrrge2dmmz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5122</Words>
  <Characters>30738</Characters>
  <Application>Microsoft Office Word</Application>
  <DocSecurity>0</DocSecurity>
  <Lines>256</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Zbigniew Liptak</dc:creator>
  <cp:lastModifiedBy>Strząbała, Ewa</cp:lastModifiedBy>
  <cp:revision>2</cp:revision>
  <dcterms:created xsi:type="dcterms:W3CDTF">2016-03-29T11:23:00Z</dcterms:created>
  <dcterms:modified xsi:type="dcterms:W3CDTF">2016-03-29T11:23:00Z</dcterms:modified>
</cp:coreProperties>
</file>