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81" w:rsidRDefault="001E2081" w:rsidP="001E2081">
      <w:pPr>
        <w:spacing w:line="360" w:lineRule="auto"/>
        <w:contextualSpacing/>
        <w:jc w:val="center"/>
        <w:rPr>
          <w:b/>
        </w:rPr>
      </w:pPr>
      <w:r w:rsidRPr="00A65235">
        <w:rPr>
          <w:b/>
        </w:rPr>
        <w:t>Propozycja legislacyjna</w:t>
      </w:r>
    </w:p>
    <w:p w:rsidR="001E2081" w:rsidRDefault="001E2081" w:rsidP="001E2081">
      <w:pPr>
        <w:spacing w:line="360" w:lineRule="auto"/>
        <w:contextualSpacing/>
        <w:jc w:val="center"/>
        <w:rPr>
          <w:b/>
        </w:rPr>
      </w:pPr>
      <w:r w:rsidRPr="00A65235">
        <w:rPr>
          <w:b/>
        </w:rPr>
        <w:t xml:space="preserve">Wojewódzkiej Rady Dialogu Społecznego </w:t>
      </w:r>
      <w:r w:rsidR="0061787C">
        <w:rPr>
          <w:b/>
        </w:rPr>
        <w:t>w Kielcach</w:t>
      </w:r>
      <w:bookmarkStart w:id="0" w:name="_GoBack"/>
      <w:bookmarkEnd w:id="0"/>
    </w:p>
    <w:p w:rsidR="001E2081" w:rsidRDefault="001E2081" w:rsidP="001E2081">
      <w:pPr>
        <w:spacing w:line="360" w:lineRule="auto"/>
        <w:contextualSpacing/>
        <w:jc w:val="center"/>
        <w:rPr>
          <w:b/>
        </w:rPr>
      </w:pPr>
      <w:r w:rsidRPr="00A65235">
        <w:rPr>
          <w:b/>
        </w:rPr>
        <w:t>w zakresie</w:t>
      </w:r>
      <w:r>
        <w:rPr>
          <w:b/>
        </w:rPr>
        <w:t>:</w:t>
      </w:r>
    </w:p>
    <w:p w:rsidR="001E2081" w:rsidRDefault="001E2081" w:rsidP="00CD2856">
      <w:pPr>
        <w:spacing w:line="360" w:lineRule="auto"/>
        <w:contextualSpacing/>
        <w:jc w:val="both"/>
        <w:rPr>
          <w:b/>
        </w:rPr>
      </w:pPr>
    </w:p>
    <w:p w:rsidR="00E63F90" w:rsidRPr="00853DCE" w:rsidRDefault="00E4433A" w:rsidP="00CD2856">
      <w:pPr>
        <w:spacing w:line="360" w:lineRule="auto"/>
        <w:contextualSpacing/>
        <w:jc w:val="both"/>
        <w:rPr>
          <w:b/>
        </w:rPr>
      </w:pPr>
      <w:r w:rsidRPr="00853DCE">
        <w:rPr>
          <w:b/>
        </w:rPr>
        <w:t xml:space="preserve">zmian do procedowanego obecnie projektu Ustawy o efektywności energetycznej </w:t>
      </w:r>
      <w:r w:rsidR="00853DCE">
        <w:rPr>
          <w:b/>
        </w:rPr>
        <w:t>(</w:t>
      </w:r>
      <w:r w:rsidR="00853DCE" w:rsidRPr="00EB2DAC">
        <w:rPr>
          <w:b/>
        </w:rPr>
        <w:t>p</w:t>
      </w:r>
      <w:r w:rsidRPr="00EB2DAC">
        <w:rPr>
          <w:b/>
        </w:rPr>
        <w:t xml:space="preserve">rojekt </w:t>
      </w:r>
      <w:r w:rsidR="00EB2DAC" w:rsidRPr="00EB2DAC">
        <w:rPr>
          <w:b/>
        </w:rPr>
        <w:t>przyjęty przez Radę</w:t>
      </w:r>
      <w:r w:rsidR="004448B0">
        <w:rPr>
          <w:b/>
        </w:rPr>
        <w:t xml:space="preserve"> Ministrów w dniu 23.02.2016 r.)</w:t>
      </w:r>
      <w:r w:rsidR="00E63F90">
        <w:rPr>
          <w:b/>
        </w:rPr>
        <w:t>.</w:t>
      </w:r>
    </w:p>
    <w:p w:rsidR="007B2BFC" w:rsidRDefault="007B2BFC" w:rsidP="00CD2856">
      <w:pPr>
        <w:spacing w:line="360" w:lineRule="auto"/>
        <w:contextualSpacing/>
        <w:jc w:val="both"/>
      </w:pPr>
    </w:p>
    <w:p w:rsidR="0044685D" w:rsidRPr="00E63F90" w:rsidRDefault="0044685D" w:rsidP="0044685D">
      <w:pPr>
        <w:spacing w:line="360" w:lineRule="auto"/>
        <w:contextualSpacing/>
        <w:jc w:val="both"/>
        <w:rPr>
          <w:b/>
        </w:rPr>
      </w:pPr>
      <w:r w:rsidRPr="00E63F90">
        <w:rPr>
          <w:b/>
        </w:rPr>
        <w:t xml:space="preserve">1. Obecne brzmienie </w:t>
      </w:r>
      <w:r w:rsidRPr="00D42334">
        <w:rPr>
          <w:b/>
        </w:rPr>
        <w:t>projektu Ustawy o efektywności energetycznej</w:t>
      </w:r>
    </w:p>
    <w:p w:rsidR="0044685D" w:rsidRPr="004724AD" w:rsidRDefault="0044685D" w:rsidP="0044685D">
      <w:pPr>
        <w:spacing w:line="360" w:lineRule="auto"/>
        <w:contextualSpacing/>
        <w:jc w:val="both"/>
      </w:pPr>
    </w:p>
    <w:p w:rsidR="00E63F90" w:rsidRDefault="0044685D" w:rsidP="00E63F90">
      <w:pPr>
        <w:pStyle w:val="Akapitzlist"/>
        <w:numPr>
          <w:ilvl w:val="0"/>
          <w:numId w:val="23"/>
        </w:numPr>
        <w:autoSpaceDE w:val="0"/>
        <w:autoSpaceDN w:val="0"/>
        <w:adjustRightInd w:val="0"/>
        <w:spacing w:before="0" w:line="360" w:lineRule="auto"/>
        <w:jc w:val="both"/>
      </w:pPr>
      <w:r>
        <w:t xml:space="preserve">Art. 10 ust. 1. </w:t>
      </w:r>
    </w:p>
    <w:p w:rsidR="0044685D" w:rsidRDefault="00E63F90" w:rsidP="00E63F90">
      <w:pPr>
        <w:autoSpaceDE w:val="0"/>
        <w:autoSpaceDN w:val="0"/>
        <w:adjustRightInd w:val="0"/>
        <w:spacing w:before="0" w:line="360" w:lineRule="auto"/>
        <w:ind w:left="360"/>
        <w:jc w:val="both"/>
      </w:pPr>
      <w:r>
        <w:t xml:space="preserve">1. </w:t>
      </w:r>
      <w:r w:rsidR="0044685D">
        <w:t>Podmioty, o których mowa w ust. 2, zwane dalej „podmiotami zobowiązanymi”, są obowiązane:</w:t>
      </w:r>
    </w:p>
    <w:p w:rsidR="00E63F90" w:rsidRDefault="00E63F90" w:rsidP="00E63F90">
      <w:pPr>
        <w:pStyle w:val="Akapitzlist"/>
        <w:autoSpaceDE w:val="0"/>
        <w:autoSpaceDN w:val="0"/>
        <w:adjustRightInd w:val="0"/>
        <w:spacing w:before="0" w:line="360" w:lineRule="auto"/>
        <w:jc w:val="both"/>
      </w:pPr>
      <w:r>
        <w:t>[…]</w:t>
      </w:r>
    </w:p>
    <w:p w:rsidR="0044685D" w:rsidRDefault="0044685D" w:rsidP="00D42334">
      <w:pPr>
        <w:autoSpaceDE w:val="0"/>
        <w:autoSpaceDN w:val="0"/>
        <w:adjustRightInd w:val="0"/>
        <w:spacing w:before="0" w:line="360" w:lineRule="auto"/>
        <w:ind w:left="360" w:firstLine="349"/>
        <w:jc w:val="both"/>
      </w:pPr>
      <w:r>
        <w:t xml:space="preserve">2) </w:t>
      </w:r>
      <w:r w:rsidRPr="00AC2E90">
        <w:t>uzyskać i przedstawić do umorzenia Prezesowi URE świadectwo efektywności</w:t>
      </w:r>
      <w:r>
        <w:t xml:space="preserve"> </w:t>
      </w:r>
      <w:r w:rsidRPr="00AC2E90">
        <w:t xml:space="preserve">energetycznej, o </w:t>
      </w:r>
      <w:r>
        <w:t>którym</w:t>
      </w:r>
      <w:r w:rsidRPr="00AC2E90">
        <w:t xml:space="preserve"> mowa w</w:t>
      </w:r>
      <w:r>
        <w:t xml:space="preserve"> </w:t>
      </w:r>
      <w:r w:rsidRPr="00AC2E90">
        <w:t>art. 20 ust. 1”</w:t>
      </w:r>
    </w:p>
    <w:p w:rsidR="0044685D" w:rsidRDefault="0044685D" w:rsidP="00D42334">
      <w:pPr>
        <w:autoSpaceDE w:val="0"/>
        <w:autoSpaceDN w:val="0"/>
        <w:adjustRightInd w:val="0"/>
        <w:spacing w:before="0" w:line="360" w:lineRule="auto"/>
        <w:ind w:left="360" w:firstLine="349"/>
        <w:jc w:val="both"/>
      </w:pPr>
    </w:p>
    <w:p w:rsidR="00E63F90" w:rsidRDefault="0044685D" w:rsidP="00E63F90">
      <w:pPr>
        <w:pStyle w:val="Akapitzlist"/>
        <w:numPr>
          <w:ilvl w:val="0"/>
          <w:numId w:val="23"/>
        </w:numPr>
        <w:spacing w:line="360" w:lineRule="auto"/>
        <w:jc w:val="both"/>
      </w:pPr>
      <w:r>
        <w:t xml:space="preserve">Art. 15 ust. </w:t>
      </w:r>
      <w:r w:rsidRPr="00AC2E90">
        <w:t xml:space="preserve">1. </w:t>
      </w:r>
    </w:p>
    <w:p w:rsidR="0044685D" w:rsidRDefault="00E63F90" w:rsidP="00E63F90">
      <w:pPr>
        <w:spacing w:line="360" w:lineRule="auto"/>
        <w:ind w:firstLine="360"/>
        <w:jc w:val="both"/>
      </w:pPr>
      <w:r>
        <w:t xml:space="preserve">1. </w:t>
      </w:r>
      <w:r w:rsidR="0044685D" w:rsidRPr="00AC2E90">
        <w:t xml:space="preserve">Odbiorca końcowy, </w:t>
      </w:r>
      <w:r w:rsidR="0044685D">
        <w:t>któ</w:t>
      </w:r>
      <w:r w:rsidR="0044685D" w:rsidRPr="00AC2E90">
        <w:t>ry:</w:t>
      </w:r>
    </w:p>
    <w:p w:rsidR="0044685D" w:rsidRPr="00AC2E90" w:rsidRDefault="0044685D" w:rsidP="00D42334">
      <w:pPr>
        <w:pStyle w:val="Akapitzlist"/>
        <w:numPr>
          <w:ilvl w:val="0"/>
          <w:numId w:val="24"/>
        </w:numPr>
        <w:autoSpaceDE w:val="0"/>
        <w:autoSpaceDN w:val="0"/>
        <w:adjustRightInd w:val="0"/>
        <w:spacing w:before="0" w:line="360" w:lineRule="auto"/>
        <w:jc w:val="both"/>
      </w:pPr>
      <w:r w:rsidRPr="00AC2E90">
        <w:t xml:space="preserve">w roku poprzedzającym rok realizacji obowiązku, o </w:t>
      </w:r>
      <w:r>
        <w:t>którym</w:t>
      </w:r>
      <w:r w:rsidRPr="00AC2E90">
        <w:t xml:space="preserve"> mowa w</w:t>
      </w:r>
      <w:r>
        <w:t xml:space="preserve"> </w:t>
      </w:r>
      <w:r w:rsidRPr="00AC2E90">
        <w:t>art. 10 ust. 1, zużył</w:t>
      </w:r>
      <w:r>
        <w:t xml:space="preserve"> </w:t>
      </w:r>
      <w:r w:rsidRPr="00AC2E90">
        <w:t xml:space="preserve">nie mniej niż 100 </w:t>
      </w:r>
      <w:proofErr w:type="spellStart"/>
      <w:r w:rsidRPr="00AC2E90">
        <w:t>GWh</w:t>
      </w:r>
      <w:proofErr w:type="spellEnd"/>
      <w:r w:rsidRPr="00AC2E90">
        <w:t xml:space="preserve"> energii elektrycznej i dla k</w:t>
      </w:r>
      <w:r>
        <w:t>tór</w:t>
      </w:r>
      <w:r w:rsidRPr="00AC2E90">
        <w:t>ego udział kosztu energii</w:t>
      </w:r>
    </w:p>
    <w:p w:rsidR="0044685D" w:rsidRDefault="0044685D" w:rsidP="00E63F90">
      <w:pPr>
        <w:autoSpaceDE w:val="0"/>
        <w:autoSpaceDN w:val="0"/>
        <w:adjustRightInd w:val="0"/>
        <w:spacing w:before="0" w:line="360" w:lineRule="auto"/>
        <w:ind w:firstLine="709"/>
        <w:jc w:val="both"/>
      </w:pPr>
      <w:r w:rsidRPr="00AC2E90">
        <w:t>elektrycznej w wartości jego produkcji jest nie mniejszy niż 15 % oraz</w:t>
      </w:r>
    </w:p>
    <w:p w:rsidR="0044685D" w:rsidRPr="00AC2E90" w:rsidRDefault="0044685D" w:rsidP="00E63F90">
      <w:pPr>
        <w:pStyle w:val="Akapitzlist"/>
        <w:numPr>
          <w:ilvl w:val="0"/>
          <w:numId w:val="24"/>
        </w:numPr>
        <w:autoSpaceDE w:val="0"/>
        <w:autoSpaceDN w:val="0"/>
        <w:adjustRightInd w:val="0"/>
        <w:spacing w:before="0" w:line="360" w:lineRule="auto"/>
        <w:jc w:val="both"/>
      </w:pPr>
      <w:r w:rsidRPr="00AC2E90">
        <w:t>zakończył, nie wcześniej niż w dniu 1 stycznia 2014 r., przedsięwzięcie lub</w:t>
      </w:r>
      <w:r>
        <w:t xml:space="preserve"> </w:t>
      </w:r>
      <w:r w:rsidRPr="00AC2E90">
        <w:t>przedsięwzięcia tego samego rodzaju służące poprawie efektywności energetycznej</w:t>
      </w:r>
    </w:p>
    <w:p w:rsidR="0044685D" w:rsidRPr="00AC2E90" w:rsidRDefault="0044685D" w:rsidP="00E63F90">
      <w:pPr>
        <w:autoSpaceDE w:val="0"/>
        <w:autoSpaceDN w:val="0"/>
        <w:adjustRightInd w:val="0"/>
        <w:spacing w:before="0" w:line="360" w:lineRule="auto"/>
        <w:ind w:left="709"/>
        <w:jc w:val="both"/>
      </w:pPr>
      <w:r w:rsidRPr="00AC2E90">
        <w:t>ograniczając zużycie energii elektrycznej w przeliczeniu na wielkość produkcji o nie</w:t>
      </w:r>
      <w:r>
        <w:t xml:space="preserve"> </w:t>
      </w:r>
      <w:r w:rsidRPr="00AC2E90">
        <w:t>mniej niż 1,5 % rocznie w stosunku do średniej jego wielkości z lat 2011 - 2013</w:t>
      </w:r>
    </w:p>
    <w:p w:rsidR="0044685D" w:rsidRPr="00AC2E90" w:rsidRDefault="0044685D" w:rsidP="00E63F90">
      <w:pPr>
        <w:autoSpaceDE w:val="0"/>
        <w:autoSpaceDN w:val="0"/>
        <w:adjustRightInd w:val="0"/>
        <w:spacing w:before="0" w:line="360" w:lineRule="auto"/>
        <w:ind w:left="709"/>
        <w:jc w:val="both"/>
      </w:pPr>
      <w:r w:rsidRPr="00AC2E90">
        <w:t>- przedk</w:t>
      </w:r>
      <w:r>
        <w:t>ł</w:t>
      </w:r>
      <w:r w:rsidRPr="00AC2E90">
        <w:t>ada przedsi</w:t>
      </w:r>
      <w:r>
        <w:t>ę</w:t>
      </w:r>
      <w:r w:rsidRPr="00AC2E90">
        <w:t>biorstwu energetycznemu sprzedaj</w:t>
      </w:r>
      <w:r>
        <w:t>ą</w:t>
      </w:r>
      <w:r w:rsidRPr="00AC2E90">
        <w:t>cemu temu odbiorcy energi</w:t>
      </w:r>
      <w:r>
        <w:t>ę</w:t>
      </w:r>
    </w:p>
    <w:p w:rsidR="0044685D" w:rsidRPr="00AC2E90" w:rsidRDefault="0044685D" w:rsidP="00E63F90">
      <w:pPr>
        <w:autoSpaceDE w:val="0"/>
        <w:autoSpaceDN w:val="0"/>
        <w:adjustRightInd w:val="0"/>
        <w:spacing w:before="0" w:line="360" w:lineRule="auto"/>
        <w:ind w:firstLine="709"/>
        <w:jc w:val="both"/>
      </w:pPr>
      <w:r w:rsidRPr="00AC2E90">
        <w:t>elektryczn</w:t>
      </w:r>
      <w:r>
        <w:t>a</w:t>
      </w:r>
      <w:r w:rsidRPr="00AC2E90">
        <w:t xml:space="preserve"> informacj</w:t>
      </w:r>
      <w:r>
        <w:t>ę</w:t>
      </w:r>
      <w:r w:rsidRPr="00AC2E90">
        <w:t xml:space="preserve"> , o kt</w:t>
      </w:r>
      <w:r>
        <w:t>ó</w:t>
      </w:r>
      <w:r w:rsidRPr="00AC2E90">
        <w:t>rej mowa w ust. 2, oraz o</w:t>
      </w:r>
      <w:r>
        <w:t>ś</w:t>
      </w:r>
      <w:r w:rsidRPr="00AC2E90">
        <w:t>wiadczenie nast</w:t>
      </w:r>
      <w:r>
        <w:t>ę</w:t>
      </w:r>
      <w:r w:rsidRPr="00AC2E90">
        <w:t>puj</w:t>
      </w:r>
      <w:r>
        <w:t>ą</w:t>
      </w:r>
      <w:r w:rsidRPr="00AC2E90">
        <w:t>cej tre</w:t>
      </w:r>
      <w:r>
        <w:t>ś</w:t>
      </w:r>
      <w:r w:rsidRPr="00AC2E90">
        <w:t>ci:</w:t>
      </w:r>
    </w:p>
    <w:p w:rsidR="0044685D" w:rsidRPr="00AC2E90" w:rsidRDefault="0044685D" w:rsidP="00E63F90">
      <w:pPr>
        <w:autoSpaceDE w:val="0"/>
        <w:autoSpaceDN w:val="0"/>
        <w:adjustRightInd w:val="0"/>
        <w:spacing w:before="0" w:line="360" w:lineRule="auto"/>
        <w:ind w:left="709"/>
        <w:jc w:val="both"/>
      </w:pPr>
      <w:r>
        <w:t>„Ś</w:t>
      </w:r>
      <w:r w:rsidRPr="00AC2E90">
        <w:t>wiadomy odpowiedzialno</w:t>
      </w:r>
      <w:r>
        <w:t>ś</w:t>
      </w:r>
      <w:r w:rsidRPr="00AC2E90">
        <w:t>ci ka</w:t>
      </w:r>
      <w:r>
        <w:t>rn</w:t>
      </w:r>
      <w:r w:rsidRPr="00AC2E90">
        <w:t>ej za z</w:t>
      </w:r>
      <w:r>
        <w:t>ł</w:t>
      </w:r>
      <w:r w:rsidRPr="00AC2E90">
        <w:t>o</w:t>
      </w:r>
      <w:r>
        <w:t>ż</w:t>
      </w:r>
      <w:r w:rsidRPr="00AC2E90">
        <w:t>enie fałszywego oświadczenia wynikaj</w:t>
      </w:r>
      <w:r>
        <w:t>ą</w:t>
      </w:r>
      <w:r w:rsidRPr="00AC2E90">
        <w:t>cej z art.</w:t>
      </w:r>
      <w:r w:rsidR="00E63F90">
        <w:t xml:space="preserve"> </w:t>
      </w:r>
      <w:r w:rsidRPr="00AC2E90">
        <w:t xml:space="preserve">233 § 6 ustawy z dnia 6 czerwca 1997 r. - Kodeks kamy oświadczam, </w:t>
      </w:r>
      <w:r>
        <w:t>ż</w:t>
      </w:r>
      <w:r w:rsidRPr="00AC2E90">
        <w:t>e zrealizowałem</w:t>
      </w:r>
      <w:r w:rsidR="00E63F90">
        <w:t xml:space="preserve"> </w:t>
      </w:r>
      <w:r w:rsidRPr="00AC2E90">
        <w:t>przedsi</w:t>
      </w:r>
      <w:r>
        <w:t>ę</w:t>
      </w:r>
      <w:r w:rsidRPr="00AC2E90">
        <w:t>wzi</w:t>
      </w:r>
      <w:r>
        <w:t>ę</w:t>
      </w:r>
      <w:r w:rsidRPr="00AC2E90">
        <w:t>cie lub przedsi</w:t>
      </w:r>
      <w:r>
        <w:t>ę</w:t>
      </w:r>
      <w:r w:rsidRPr="00AC2E90">
        <w:t>wzi</w:t>
      </w:r>
      <w:r>
        <w:t>ę</w:t>
      </w:r>
      <w:r w:rsidRPr="00AC2E90">
        <w:t>cia tego samego rodzaju s</w:t>
      </w:r>
      <w:r>
        <w:t>ł</w:t>
      </w:r>
      <w:r w:rsidRPr="00AC2E90">
        <w:t>u</w:t>
      </w:r>
      <w:r>
        <w:t>żą</w:t>
      </w:r>
      <w:r w:rsidRPr="00AC2E90">
        <w:t xml:space="preserve">ce poprawie </w:t>
      </w:r>
      <w:r>
        <w:t>efektywnoś</w:t>
      </w:r>
      <w:r w:rsidRPr="00AC2E90">
        <w:t>ci</w:t>
      </w:r>
      <w:r w:rsidR="00E63F90">
        <w:t xml:space="preserve"> </w:t>
      </w:r>
      <w:r w:rsidRPr="00AC2E90">
        <w:t>energetycznej i uzyskana zosta</w:t>
      </w:r>
      <w:r>
        <w:t>ł</w:t>
      </w:r>
      <w:r w:rsidRPr="00AC2E90">
        <w:t>a oszcz</w:t>
      </w:r>
      <w:r>
        <w:t>ę</w:t>
      </w:r>
      <w:r w:rsidRPr="00AC2E90">
        <w:t xml:space="preserve">dność </w:t>
      </w:r>
      <w:r w:rsidRPr="00AC2E90">
        <w:lastRenderedPageBreak/>
        <w:t>energii finalnej , wyrażona w tonach oleju</w:t>
      </w:r>
      <w:r w:rsidR="00E63F90">
        <w:t xml:space="preserve"> </w:t>
      </w:r>
      <w:r w:rsidRPr="00AC2E90">
        <w:t>ekwiwalentnego, potwierdzona w audycie efektywności energetycznej w rozumieniu ustawy</w:t>
      </w:r>
    </w:p>
    <w:p w:rsidR="0044685D" w:rsidRPr="00AC2E90" w:rsidRDefault="0044685D" w:rsidP="00E63F90">
      <w:pPr>
        <w:autoSpaceDE w:val="0"/>
        <w:autoSpaceDN w:val="0"/>
        <w:adjustRightInd w:val="0"/>
        <w:spacing w:before="0" w:line="360" w:lineRule="auto"/>
        <w:ind w:left="709"/>
        <w:jc w:val="both"/>
      </w:pPr>
      <w:r w:rsidRPr="00AC2E90">
        <w:t xml:space="preserve">z dnia .... o efektywności energetycznej (Dz. U. </w:t>
      </w:r>
      <w:proofErr w:type="spellStart"/>
      <w:r w:rsidRPr="00AC2E90">
        <w:t>poz</w:t>
      </w:r>
      <w:proofErr w:type="spellEnd"/>
      <w:r w:rsidRPr="00AC2E90">
        <w:t xml:space="preserve"> . . . )"; klauzula ta zast</w:t>
      </w:r>
      <w:r>
        <w:t>ę</w:t>
      </w:r>
      <w:r w:rsidRPr="00AC2E90">
        <w:t>puje pouczenie</w:t>
      </w:r>
      <w:r w:rsidR="00E63F90">
        <w:t xml:space="preserve"> </w:t>
      </w:r>
      <w:r w:rsidRPr="00AC2E90">
        <w:t>organu o odpowiedzialności kar</w:t>
      </w:r>
      <w:r>
        <w:t>n</w:t>
      </w:r>
      <w:r w:rsidRPr="00AC2E90">
        <w:t>ej za składanie fałszywych zezna</w:t>
      </w:r>
      <w:r>
        <w:t>ń</w:t>
      </w:r>
      <w:r w:rsidRPr="00AC2E90">
        <w:t>.</w:t>
      </w:r>
    </w:p>
    <w:p w:rsidR="0044685D" w:rsidRPr="00AC2E90" w:rsidRDefault="0044685D" w:rsidP="00E63F90">
      <w:pPr>
        <w:autoSpaceDE w:val="0"/>
        <w:autoSpaceDN w:val="0"/>
        <w:adjustRightInd w:val="0"/>
        <w:spacing w:before="0" w:line="360" w:lineRule="auto"/>
        <w:ind w:firstLine="709"/>
        <w:jc w:val="both"/>
      </w:pPr>
      <w:r w:rsidRPr="00AC2E90">
        <w:t>2. Informacja, o kt</w:t>
      </w:r>
      <w:r>
        <w:t>ó</w:t>
      </w:r>
      <w:r w:rsidRPr="00AC2E90">
        <w:t>rej mowa w ust. 1, zawiera okre</w:t>
      </w:r>
      <w:r>
        <w:t>ś</w:t>
      </w:r>
      <w:r w:rsidRPr="00AC2E90">
        <w:t>lenie:</w:t>
      </w:r>
    </w:p>
    <w:p w:rsidR="0044685D" w:rsidRPr="00AC2E90" w:rsidRDefault="0044685D" w:rsidP="00E63F90">
      <w:pPr>
        <w:autoSpaceDE w:val="0"/>
        <w:autoSpaceDN w:val="0"/>
        <w:adjustRightInd w:val="0"/>
        <w:spacing w:before="0" w:line="360" w:lineRule="auto"/>
        <w:ind w:left="709"/>
        <w:jc w:val="both"/>
      </w:pPr>
      <w:r w:rsidRPr="00AC2E90">
        <w:t>1) przedsi</w:t>
      </w:r>
      <w:r>
        <w:t>ę</w:t>
      </w:r>
      <w:r w:rsidRPr="00AC2E90">
        <w:t>wzi</w:t>
      </w:r>
      <w:r>
        <w:t>ę</w:t>
      </w:r>
      <w:r w:rsidRPr="00AC2E90">
        <w:t>cia lub przedsi</w:t>
      </w:r>
      <w:r>
        <w:t>ę</w:t>
      </w:r>
      <w:r w:rsidRPr="00AC2E90">
        <w:t>wzi</w:t>
      </w:r>
      <w:r>
        <w:t>ęć</w:t>
      </w:r>
      <w:r w:rsidRPr="00AC2E90">
        <w:t xml:space="preserve"> tego samego rodzaju służ</w:t>
      </w:r>
      <w:r>
        <w:t>ąc</w:t>
      </w:r>
      <w:r w:rsidRPr="00AC2E90">
        <w:t>ych popraw</w:t>
      </w:r>
      <w:r>
        <w:t>i</w:t>
      </w:r>
      <w:r w:rsidRPr="00AC2E90">
        <w:t>e</w:t>
      </w:r>
      <w:r>
        <w:t xml:space="preserve"> </w:t>
      </w:r>
      <w:r w:rsidRPr="00AC2E90">
        <w:t>efektywności energetycznej , o k</w:t>
      </w:r>
      <w:r>
        <w:t>tór</w:t>
      </w:r>
      <w:r w:rsidRPr="00AC2E90">
        <w:t>ych mowa w ust. 1;</w:t>
      </w:r>
    </w:p>
    <w:p w:rsidR="0044685D" w:rsidRPr="00AC2E90" w:rsidRDefault="0044685D" w:rsidP="00E63F90">
      <w:pPr>
        <w:autoSpaceDE w:val="0"/>
        <w:autoSpaceDN w:val="0"/>
        <w:adjustRightInd w:val="0"/>
        <w:spacing w:before="0" w:line="360" w:lineRule="auto"/>
        <w:ind w:left="709"/>
        <w:jc w:val="both"/>
      </w:pPr>
      <w:r w:rsidRPr="00AC2E90">
        <w:t>2) ilości energii finalnej , wyrażonej w tonach oleju ekwiwalentnego, zaoszczędzonej</w:t>
      </w:r>
      <w:r>
        <w:t xml:space="preserve"> </w:t>
      </w:r>
      <w:r w:rsidRPr="00AC2E90">
        <w:t>średnio</w:t>
      </w:r>
      <w:r>
        <w:t xml:space="preserve"> w cią</w:t>
      </w:r>
      <w:r w:rsidRPr="00AC2E90">
        <w:t>gu roku w wyniku realizacji przedsięwzięcia lub przedsi</w:t>
      </w:r>
      <w:r>
        <w:t>ę</w:t>
      </w:r>
      <w:r w:rsidRPr="00AC2E90">
        <w:t>wzi</w:t>
      </w:r>
      <w:r>
        <w:t>ę</w:t>
      </w:r>
      <w:r w:rsidRPr="00AC2E90">
        <w:t>ć tego</w:t>
      </w:r>
      <w:r>
        <w:t xml:space="preserve"> </w:t>
      </w:r>
      <w:r w:rsidRPr="00AC2E90">
        <w:t xml:space="preserve">samego </w:t>
      </w:r>
      <w:r>
        <w:t>rodzaju służą</w:t>
      </w:r>
      <w:r w:rsidRPr="00AC2E90">
        <w:t>cych poprawie efektywności energetycznej, o k</w:t>
      </w:r>
      <w:r>
        <w:t>tór</w:t>
      </w:r>
      <w:r w:rsidRPr="00AC2E90">
        <w:t>ych mowa w ust.</w:t>
      </w:r>
      <w:r w:rsidR="00E63F90">
        <w:t xml:space="preserve"> </w:t>
      </w:r>
      <w:r w:rsidRPr="00AC2E90">
        <w:t>1 pkt 2;</w:t>
      </w:r>
    </w:p>
    <w:p w:rsidR="0044685D" w:rsidRPr="00AC2E90" w:rsidRDefault="0044685D" w:rsidP="00E63F90">
      <w:pPr>
        <w:autoSpaceDE w:val="0"/>
        <w:autoSpaceDN w:val="0"/>
        <w:adjustRightInd w:val="0"/>
        <w:spacing w:before="0" w:line="360" w:lineRule="auto"/>
        <w:ind w:left="709"/>
        <w:jc w:val="both"/>
      </w:pPr>
      <w:r w:rsidRPr="00AC2E90">
        <w:t>3) ilości energii finalnej, wyra</w:t>
      </w:r>
      <w:r>
        <w:t>ż</w:t>
      </w:r>
      <w:r w:rsidRPr="00AC2E90">
        <w:t>onej w tonach oleju ekwiwalentnego, niezb</w:t>
      </w:r>
      <w:r>
        <w:t>ę</w:t>
      </w:r>
      <w:r w:rsidRPr="00AC2E90">
        <w:t>dnej do</w:t>
      </w:r>
      <w:r>
        <w:t xml:space="preserve"> </w:t>
      </w:r>
      <w:r w:rsidRPr="00AC2E90">
        <w:t>wykonania obowi</w:t>
      </w:r>
      <w:r>
        <w:t>ą</w:t>
      </w:r>
      <w:r w:rsidRPr="00AC2E90">
        <w:t xml:space="preserve">zku, o </w:t>
      </w:r>
      <w:r>
        <w:t>którym</w:t>
      </w:r>
      <w:r w:rsidRPr="00AC2E90">
        <w:t xml:space="preserve"> mowa w art. 1 0 ust. 1, obliczonego od ilości energii</w:t>
      </w:r>
      <w:r>
        <w:t xml:space="preserve"> </w:t>
      </w:r>
      <w:r w:rsidRPr="00AC2E90">
        <w:t xml:space="preserve">elektrycznej zakupionej w danym roku przez </w:t>
      </w:r>
      <w:r>
        <w:t>odbiorcę</w:t>
      </w:r>
      <w:r w:rsidRPr="00AC2E90">
        <w:t xml:space="preserve"> końcowego, </w:t>
      </w:r>
      <w:r>
        <w:t>o któ</w:t>
      </w:r>
      <w:r w:rsidRPr="00AC2E90">
        <w:t>rym mowa w</w:t>
      </w:r>
      <w:r>
        <w:t xml:space="preserve"> </w:t>
      </w:r>
      <w:r w:rsidRPr="00AC2E90">
        <w:t>ust. 1.</w:t>
      </w:r>
    </w:p>
    <w:p w:rsidR="0044685D" w:rsidRPr="00AC2E90" w:rsidRDefault="0044685D" w:rsidP="00E63F90">
      <w:pPr>
        <w:autoSpaceDE w:val="0"/>
        <w:autoSpaceDN w:val="0"/>
        <w:adjustRightInd w:val="0"/>
        <w:spacing w:before="0" w:line="360" w:lineRule="auto"/>
        <w:ind w:left="709"/>
        <w:jc w:val="both"/>
      </w:pPr>
      <w:r w:rsidRPr="00AC2E90">
        <w:t xml:space="preserve">3. Do oświadczenia, o </w:t>
      </w:r>
      <w:r>
        <w:t>którym</w:t>
      </w:r>
      <w:r w:rsidRPr="00AC2E90">
        <w:t xml:space="preserve"> mowa w ust. 1, nale</w:t>
      </w:r>
      <w:r>
        <w:t>ży dołą</w:t>
      </w:r>
      <w:r w:rsidRPr="00AC2E90">
        <w:t>czy</w:t>
      </w:r>
      <w:r>
        <w:t>ć</w:t>
      </w:r>
      <w:r w:rsidRPr="00AC2E90">
        <w:t xml:space="preserve"> audyt efektywności</w:t>
      </w:r>
      <w:r>
        <w:t xml:space="preserve"> </w:t>
      </w:r>
      <w:r w:rsidRPr="00AC2E90">
        <w:t>energetycznej potwierdzaj</w:t>
      </w:r>
      <w:r>
        <w:t>ą</w:t>
      </w:r>
      <w:r w:rsidRPr="00AC2E90">
        <w:t>cy uzyskan</w:t>
      </w:r>
      <w:r>
        <w:t>ą</w:t>
      </w:r>
      <w:r w:rsidRPr="00AC2E90">
        <w:t xml:space="preserve"> oszcz</w:t>
      </w:r>
      <w:r>
        <w:t>ę</w:t>
      </w:r>
      <w:r w:rsidRPr="00AC2E90">
        <w:t>dno</w:t>
      </w:r>
      <w:r>
        <w:t>ść</w:t>
      </w:r>
      <w:r w:rsidRPr="00AC2E90">
        <w:t xml:space="preserve"> energii finalnej.</w:t>
      </w:r>
    </w:p>
    <w:p w:rsidR="0044685D" w:rsidRPr="00AC2E90" w:rsidRDefault="00E63F90" w:rsidP="00E63F90">
      <w:pPr>
        <w:autoSpaceDE w:val="0"/>
        <w:autoSpaceDN w:val="0"/>
        <w:adjustRightInd w:val="0"/>
        <w:spacing w:before="0" w:line="360" w:lineRule="auto"/>
        <w:ind w:left="709"/>
        <w:jc w:val="both"/>
      </w:pPr>
      <w:r>
        <w:t>4. Ilość energii finalnej</w:t>
      </w:r>
      <w:r w:rsidR="0044685D" w:rsidRPr="00AC2E90">
        <w:t xml:space="preserve">, o </w:t>
      </w:r>
      <w:r w:rsidR="0044685D">
        <w:t>której</w:t>
      </w:r>
      <w:r w:rsidR="0044685D" w:rsidRPr="00AC2E90">
        <w:t xml:space="preserve"> mowa w ust. 2 pkt 2, nie mo</w:t>
      </w:r>
      <w:r w:rsidR="0044685D">
        <w:t>że</w:t>
      </w:r>
      <w:r w:rsidR="0044685D" w:rsidRPr="00AC2E90">
        <w:t xml:space="preserve"> by</w:t>
      </w:r>
      <w:r w:rsidR="0044685D">
        <w:t>ć</w:t>
      </w:r>
      <w:r w:rsidR="0044685D" w:rsidRPr="00AC2E90">
        <w:t xml:space="preserve"> mniejsza ni</w:t>
      </w:r>
      <w:r w:rsidR="0044685D">
        <w:t>ż</w:t>
      </w:r>
      <w:r w:rsidR="0044685D" w:rsidRPr="00AC2E90">
        <w:t xml:space="preserve"> ilo</w:t>
      </w:r>
      <w:r w:rsidR="0044685D">
        <w:t xml:space="preserve">ść </w:t>
      </w:r>
      <w:r>
        <w:t>energii finalnej</w:t>
      </w:r>
      <w:r w:rsidR="0044685D" w:rsidRPr="00AC2E90">
        <w:t xml:space="preserve">, o </w:t>
      </w:r>
      <w:r w:rsidR="0044685D">
        <w:t>której</w:t>
      </w:r>
      <w:r w:rsidR="0044685D" w:rsidRPr="00AC2E90">
        <w:t xml:space="preserve"> mowa w ust. 2 pkt 3.</w:t>
      </w:r>
    </w:p>
    <w:p w:rsidR="0044685D" w:rsidRPr="00AC2E90" w:rsidRDefault="0044685D" w:rsidP="00E63F90">
      <w:pPr>
        <w:autoSpaceDE w:val="0"/>
        <w:autoSpaceDN w:val="0"/>
        <w:adjustRightInd w:val="0"/>
        <w:spacing w:before="0" w:line="360" w:lineRule="auto"/>
        <w:ind w:left="709"/>
        <w:jc w:val="both"/>
      </w:pPr>
      <w:r w:rsidRPr="00AC2E90">
        <w:t>5. Przedsiębiorstwo energetyczne, k</w:t>
      </w:r>
      <w:r>
        <w:t>tór</w:t>
      </w:r>
      <w:r w:rsidRPr="00AC2E90">
        <w:t>e otrzymało oświadczenie wraz z audytem</w:t>
      </w:r>
      <w:r>
        <w:t xml:space="preserve"> </w:t>
      </w:r>
      <w:r w:rsidRPr="00AC2E90">
        <w:t>efektywności energetycznej, o k</w:t>
      </w:r>
      <w:r>
        <w:t>tór</w:t>
      </w:r>
      <w:r w:rsidRPr="00AC2E90">
        <w:t>ych mowa w ust. 1, przekazuje Prezesowi URE</w:t>
      </w:r>
      <w:r>
        <w:t xml:space="preserve"> </w:t>
      </w:r>
      <w:r w:rsidRPr="00AC2E90">
        <w:t>oświadczenie i audyt podczas wykonywania obowi</w:t>
      </w:r>
      <w:r>
        <w:t>ą</w:t>
      </w:r>
      <w:r w:rsidRPr="00AC2E90">
        <w:t xml:space="preserve">zku, o </w:t>
      </w:r>
      <w:r>
        <w:t>którym</w:t>
      </w:r>
      <w:r w:rsidRPr="00AC2E90">
        <w:t xml:space="preserve"> mowa w art. 10 ust. 1.</w:t>
      </w:r>
    </w:p>
    <w:p w:rsidR="0044685D" w:rsidRPr="00AC2E90" w:rsidRDefault="0044685D" w:rsidP="00E63F90">
      <w:pPr>
        <w:autoSpaceDE w:val="0"/>
        <w:autoSpaceDN w:val="0"/>
        <w:adjustRightInd w:val="0"/>
        <w:spacing w:before="0" w:line="360" w:lineRule="auto"/>
        <w:ind w:left="709"/>
        <w:jc w:val="both"/>
      </w:pPr>
      <w:r w:rsidRPr="00AC2E90">
        <w:t xml:space="preserve">6. Odbiorca końcowy, o </w:t>
      </w:r>
      <w:r>
        <w:t>którym</w:t>
      </w:r>
      <w:r w:rsidRPr="00AC2E90">
        <w:t xml:space="preserve"> mowa w ust. 1, </w:t>
      </w:r>
      <w:r>
        <w:t>może</w:t>
      </w:r>
      <w:r w:rsidRPr="00AC2E90">
        <w:t xml:space="preserve"> w kolejnych latach przedstawić</w:t>
      </w:r>
      <w:r>
        <w:t xml:space="preserve"> </w:t>
      </w:r>
      <w:r w:rsidRPr="00AC2E90">
        <w:t>przedsiębiorstwu energetycznemu sprzedaj</w:t>
      </w:r>
      <w:r>
        <w:t>ą</w:t>
      </w:r>
      <w:r w:rsidRPr="00AC2E90">
        <w:t>cemu temu odbiorcy energi</w:t>
      </w:r>
      <w:r>
        <w:t xml:space="preserve">ę </w:t>
      </w:r>
      <w:r w:rsidRPr="00AC2E90">
        <w:t>elektryczn</w:t>
      </w:r>
      <w:r>
        <w:t xml:space="preserve">ą </w:t>
      </w:r>
      <w:r w:rsidRPr="00AC2E90">
        <w:t>oświadczenia zawieraj</w:t>
      </w:r>
      <w:r>
        <w:t>ą</w:t>
      </w:r>
      <w:r w:rsidRPr="00AC2E90">
        <w:t>ce dane dotycz</w:t>
      </w:r>
      <w:r>
        <w:t>ą</w:t>
      </w:r>
      <w:r w:rsidRPr="00AC2E90">
        <w:t>ce tego samego przedsi</w:t>
      </w:r>
      <w:r>
        <w:t>ę</w:t>
      </w:r>
      <w:r w:rsidRPr="00AC2E90">
        <w:t>wzi</w:t>
      </w:r>
      <w:r>
        <w:t>ę</w:t>
      </w:r>
      <w:r w:rsidRPr="00AC2E90">
        <w:t>cia lub przedsi</w:t>
      </w:r>
      <w:r>
        <w:t>ę</w:t>
      </w:r>
      <w:r w:rsidRPr="00AC2E90">
        <w:t>wzi</w:t>
      </w:r>
      <w:r>
        <w:t xml:space="preserve">ęć </w:t>
      </w:r>
      <w:r w:rsidRPr="00AC2E90">
        <w:t>tego samego rodzaju s</w:t>
      </w:r>
      <w:r>
        <w:t>łużą</w:t>
      </w:r>
      <w:r w:rsidRPr="00AC2E90">
        <w:t>cych poprawie efektywności energetycznej, jeżeli suma ilości</w:t>
      </w:r>
      <w:r>
        <w:t xml:space="preserve"> </w:t>
      </w:r>
      <w:r w:rsidRPr="00AC2E90">
        <w:t>energi</w:t>
      </w:r>
      <w:r>
        <w:t>i finalnej, o któ</w:t>
      </w:r>
      <w:r w:rsidRPr="00AC2E90">
        <w:t>rej mowa w ust. 2 pkt 3, określonej w poszczeg6lnych oświadczeniach</w:t>
      </w:r>
      <w:r>
        <w:t xml:space="preserve"> </w:t>
      </w:r>
      <w:r w:rsidRPr="00AC2E90">
        <w:t xml:space="preserve">jest nie większa, niż ilość energii finalnej, o </w:t>
      </w:r>
      <w:r>
        <w:t>której</w:t>
      </w:r>
      <w:r w:rsidRPr="00AC2E90">
        <w:t xml:space="preserve"> mowa w ust. 2 pkt 2.”</w:t>
      </w:r>
    </w:p>
    <w:p w:rsidR="0044685D" w:rsidRPr="00AC2E90" w:rsidRDefault="0044685D" w:rsidP="00D42334">
      <w:pPr>
        <w:spacing w:line="360" w:lineRule="auto"/>
        <w:contextualSpacing/>
        <w:jc w:val="both"/>
      </w:pPr>
    </w:p>
    <w:p w:rsidR="00E63F90" w:rsidRDefault="0044685D" w:rsidP="00E63F90">
      <w:pPr>
        <w:pStyle w:val="Akapitzlist"/>
        <w:numPr>
          <w:ilvl w:val="0"/>
          <w:numId w:val="24"/>
        </w:numPr>
        <w:spacing w:line="360" w:lineRule="auto"/>
        <w:jc w:val="both"/>
      </w:pPr>
      <w:r>
        <w:t xml:space="preserve">Art. 36 ust. </w:t>
      </w:r>
      <w:r w:rsidRPr="00AC2E90">
        <w:t xml:space="preserve">2. </w:t>
      </w:r>
    </w:p>
    <w:p w:rsidR="0044685D" w:rsidRPr="00AC2E90" w:rsidRDefault="00E63F90" w:rsidP="00E63F90">
      <w:pPr>
        <w:spacing w:line="360" w:lineRule="auto"/>
        <w:ind w:firstLine="360"/>
        <w:jc w:val="both"/>
      </w:pPr>
      <w:r>
        <w:t xml:space="preserve">2. </w:t>
      </w:r>
      <w:r w:rsidR="0044685D" w:rsidRPr="00AC2E90">
        <w:t xml:space="preserve">Przepisu ust. 1 nie stosuje </w:t>
      </w:r>
      <w:r w:rsidR="0044685D">
        <w:t>się</w:t>
      </w:r>
      <w:r w:rsidR="0044685D" w:rsidRPr="00AC2E90">
        <w:t xml:space="preserve"> do przedsi</w:t>
      </w:r>
      <w:r w:rsidR="0044685D">
        <w:t>ę</w:t>
      </w:r>
      <w:r w:rsidR="0044685D" w:rsidRPr="00AC2E90">
        <w:t>biorcy:</w:t>
      </w:r>
    </w:p>
    <w:p w:rsidR="0044685D" w:rsidRPr="00AC2E90" w:rsidRDefault="0044685D" w:rsidP="00E63F90">
      <w:pPr>
        <w:autoSpaceDE w:val="0"/>
        <w:autoSpaceDN w:val="0"/>
        <w:adjustRightInd w:val="0"/>
        <w:spacing w:before="0" w:line="360" w:lineRule="auto"/>
        <w:ind w:firstLine="709"/>
        <w:jc w:val="both"/>
      </w:pPr>
      <w:r w:rsidRPr="00AC2E90">
        <w:lastRenderedPageBreak/>
        <w:t xml:space="preserve">1) </w:t>
      </w:r>
      <w:r>
        <w:t>posiadającego</w:t>
      </w:r>
      <w:r w:rsidRPr="00AC2E90">
        <w:t xml:space="preserve"> system </w:t>
      </w:r>
      <w:r>
        <w:t>zarządzania</w:t>
      </w:r>
      <w:r w:rsidRPr="00AC2E90">
        <w:t xml:space="preserve"> energią określony we właściwych normach lub</w:t>
      </w:r>
    </w:p>
    <w:p w:rsidR="0044685D" w:rsidRPr="00AC2E90" w:rsidRDefault="0044685D" w:rsidP="00E63F90">
      <w:pPr>
        <w:autoSpaceDE w:val="0"/>
        <w:autoSpaceDN w:val="0"/>
        <w:adjustRightInd w:val="0"/>
        <w:spacing w:before="0" w:line="360" w:lineRule="auto"/>
        <w:ind w:firstLine="709"/>
        <w:jc w:val="both"/>
      </w:pPr>
      <w:r w:rsidRPr="00AC2E90">
        <w:t xml:space="preserve">2) </w:t>
      </w:r>
      <w:r>
        <w:t>posiadającego</w:t>
      </w:r>
      <w:r w:rsidRPr="00AC2E90">
        <w:t xml:space="preserve"> system </w:t>
      </w:r>
      <w:r>
        <w:t>zarządzania</w:t>
      </w:r>
      <w:r w:rsidRPr="00AC2E90">
        <w:t xml:space="preserve"> środowiskowego, o </w:t>
      </w:r>
      <w:r>
        <w:t>którym</w:t>
      </w:r>
      <w:r w:rsidRPr="00AC2E90">
        <w:t xml:space="preserve"> mowa w art. 2 pkt 13</w:t>
      </w:r>
    </w:p>
    <w:p w:rsidR="0044685D" w:rsidRPr="00AC2E90" w:rsidRDefault="0044685D" w:rsidP="00E63F90">
      <w:pPr>
        <w:autoSpaceDE w:val="0"/>
        <w:autoSpaceDN w:val="0"/>
        <w:adjustRightInd w:val="0"/>
        <w:spacing w:before="0" w:line="360" w:lineRule="auto"/>
        <w:ind w:left="709"/>
        <w:jc w:val="both"/>
      </w:pPr>
      <w:r w:rsidRPr="00AC2E90">
        <w:t>rozporz</w:t>
      </w:r>
      <w:r>
        <w:t>ą</w:t>
      </w:r>
      <w:r w:rsidRPr="00AC2E90">
        <w:t>dzenia Parlamentu Europejskiego i Rady (WE) nr 1221</w:t>
      </w:r>
      <w:r>
        <w:t>/</w:t>
      </w:r>
      <w:r w:rsidRPr="00AC2E90">
        <w:t>2009 z 25 listopada</w:t>
      </w:r>
      <w:r>
        <w:t xml:space="preserve"> </w:t>
      </w:r>
      <w:r w:rsidRPr="00AC2E90">
        <w:t xml:space="preserve">2009 r. w sprawie dobrowolnego udziału organizacji w systemie </w:t>
      </w:r>
      <w:proofErr w:type="spellStart"/>
      <w:r w:rsidRPr="00AC2E90">
        <w:t>eko</w:t>
      </w:r>
      <w:proofErr w:type="spellEnd"/>
      <w:r>
        <w:t xml:space="preserve">-zarządzania </w:t>
      </w:r>
      <w:r w:rsidRPr="00AC2E90">
        <w:t xml:space="preserve">i audytu we </w:t>
      </w:r>
      <w:r>
        <w:t>Wspó</w:t>
      </w:r>
      <w:r w:rsidRPr="00AC2E90">
        <w:t>lnocie (EMAS), uchy</w:t>
      </w:r>
      <w:r>
        <w:t>lającego rozporządzenie</w:t>
      </w:r>
      <w:r w:rsidRPr="00AC2E90">
        <w:t xml:space="preserve"> (WE) nr 761</w:t>
      </w:r>
      <w:r>
        <w:t>/</w:t>
      </w:r>
      <w:r w:rsidRPr="00AC2E90">
        <w:t>2001 oraz</w:t>
      </w:r>
      <w:r>
        <w:t xml:space="preserve"> </w:t>
      </w:r>
      <w:r w:rsidRPr="00AC2E90">
        <w:t>decyzje Komisji 2001</w:t>
      </w:r>
      <w:r>
        <w:t>/</w:t>
      </w:r>
      <w:r w:rsidRPr="00AC2E90">
        <w:t>681</w:t>
      </w:r>
      <w:r>
        <w:t>/</w:t>
      </w:r>
      <w:r w:rsidRPr="00AC2E90">
        <w:t>WE i 2006/193/WE</w:t>
      </w:r>
    </w:p>
    <w:p w:rsidR="0044685D" w:rsidRDefault="0044685D" w:rsidP="00E63F90">
      <w:pPr>
        <w:spacing w:line="360" w:lineRule="auto"/>
        <w:ind w:left="709"/>
        <w:contextualSpacing/>
        <w:jc w:val="both"/>
      </w:pPr>
      <w:r w:rsidRPr="00AC2E90">
        <w:t>- jeżeli w ramach ty</w:t>
      </w:r>
      <w:r>
        <w:t>ch systemó</w:t>
      </w:r>
      <w:r w:rsidRPr="00AC2E90">
        <w:t>w przeprowadzono audyt energetyczny przedsi</w:t>
      </w:r>
      <w:r>
        <w:t>ę</w:t>
      </w:r>
      <w:r w:rsidRPr="00AC2E90">
        <w:t>biorstwa”</w:t>
      </w:r>
    </w:p>
    <w:p w:rsidR="00E63F90" w:rsidRPr="00AC2E90" w:rsidRDefault="00E63F90">
      <w:pPr>
        <w:spacing w:line="360" w:lineRule="auto"/>
        <w:contextualSpacing/>
        <w:jc w:val="both"/>
      </w:pPr>
    </w:p>
    <w:p w:rsidR="00E63F90" w:rsidRDefault="0044685D" w:rsidP="00E63F90">
      <w:pPr>
        <w:pStyle w:val="Akapitzlist"/>
        <w:numPr>
          <w:ilvl w:val="0"/>
          <w:numId w:val="24"/>
        </w:numPr>
        <w:spacing w:line="360" w:lineRule="auto"/>
        <w:jc w:val="both"/>
      </w:pPr>
      <w:r>
        <w:t>Art. 37 ust. 2</w:t>
      </w:r>
      <w:r w:rsidR="00D42334">
        <w:t>.</w:t>
      </w:r>
      <w:r w:rsidRPr="00AC2E90">
        <w:t xml:space="preserve"> </w:t>
      </w:r>
    </w:p>
    <w:p w:rsidR="0044685D" w:rsidRPr="00AC2E90" w:rsidRDefault="00E63F90" w:rsidP="00E63F90">
      <w:pPr>
        <w:spacing w:line="360" w:lineRule="auto"/>
        <w:ind w:firstLine="360"/>
        <w:jc w:val="both"/>
      </w:pPr>
      <w:r>
        <w:t xml:space="preserve">2. </w:t>
      </w:r>
      <w:r w:rsidR="0044685D" w:rsidRPr="00AC2E90">
        <w:t>Audyt energetyczny przedsiębiorstwa:</w:t>
      </w:r>
    </w:p>
    <w:p w:rsidR="0044685D" w:rsidRPr="00AC2E90" w:rsidRDefault="0044685D" w:rsidP="00E63F90">
      <w:pPr>
        <w:autoSpaceDE w:val="0"/>
        <w:autoSpaceDN w:val="0"/>
        <w:adjustRightInd w:val="0"/>
        <w:spacing w:before="0" w:line="360" w:lineRule="auto"/>
        <w:ind w:left="360"/>
        <w:jc w:val="both"/>
      </w:pPr>
      <w:r w:rsidRPr="00AC2E90">
        <w:t>1) należy przeprowadzać na podstawie aktualnych, reprezentatywnych, mierzonych</w:t>
      </w:r>
      <w:r w:rsidR="00D42334">
        <w:t xml:space="preserve"> </w:t>
      </w:r>
      <w:r w:rsidRPr="00AC2E90">
        <w:t>i możliwych do zidentyfikowania danych dotyczących zużycia energii oraz,</w:t>
      </w:r>
      <w:r w:rsidR="00D42334">
        <w:t xml:space="preserve"> </w:t>
      </w:r>
      <w:r w:rsidRPr="00AC2E90">
        <w:t>w przypadku energii elektrycznej, zapotrzebowania na mo</w:t>
      </w:r>
      <w:r>
        <w:t>c</w:t>
      </w:r>
      <w:r w:rsidRPr="00AC2E90">
        <w:t>;</w:t>
      </w:r>
    </w:p>
    <w:p w:rsidR="0044685D" w:rsidRPr="00AC2E90" w:rsidRDefault="0044685D" w:rsidP="00E63F90">
      <w:pPr>
        <w:autoSpaceDE w:val="0"/>
        <w:autoSpaceDN w:val="0"/>
        <w:adjustRightInd w:val="0"/>
        <w:spacing w:before="0" w:line="360" w:lineRule="auto"/>
        <w:ind w:left="360"/>
        <w:jc w:val="both"/>
      </w:pPr>
      <w:r w:rsidRPr="00AC2E90">
        <w:t xml:space="preserve">2) powinien zawierać </w:t>
      </w:r>
      <w:r>
        <w:t>szczegółowy</w:t>
      </w:r>
      <w:r w:rsidRPr="00AC2E90">
        <w:t xml:space="preserve"> przegląd zużycia energii w budynkach lub zespołach</w:t>
      </w:r>
      <w:r w:rsidR="00D42334">
        <w:t xml:space="preserve"> </w:t>
      </w:r>
      <w:r w:rsidRPr="00AC2E90">
        <w:t>budyn</w:t>
      </w:r>
      <w:r>
        <w:t>ków</w:t>
      </w:r>
      <w:r w:rsidRPr="00AC2E90">
        <w:t>, w instalacjach przemysłowych oraz w transporcie;</w:t>
      </w:r>
    </w:p>
    <w:p w:rsidR="0044685D" w:rsidRDefault="0044685D" w:rsidP="00E63F90">
      <w:pPr>
        <w:autoSpaceDE w:val="0"/>
        <w:autoSpaceDN w:val="0"/>
        <w:adjustRightInd w:val="0"/>
        <w:spacing w:before="0" w:line="360" w:lineRule="auto"/>
        <w:ind w:left="360"/>
        <w:jc w:val="both"/>
      </w:pPr>
      <w:r w:rsidRPr="00AC2E90">
        <w:t xml:space="preserve">3) powinien opierać </w:t>
      </w:r>
      <w:r>
        <w:t>się</w:t>
      </w:r>
      <w:r w:rsidRPr="00AC2E90">
        <w:t xml:space="preserve"> , o ile to możliwe, na analizie kosztowej cyklu życia budynku lub</w:t>
      </w:r>
      <w:r w:rsidR="00D42334">
        <w:t xml:space="preserve"> </w:t>
      </w:r>
      <w:r w:rsidRPr="00AC2E90">
        <w:t>zespołu budyn</w:t>
      </w:r>
      <w:r>
        <w:t>ków</w:t>
      </w:r>
      <w:r w:rsidRPr="00AC2E90">
        <w:t xml:space="preserve"> oraz instalacji przemysłowych, a nie na okresie zwrotu nakład</w:t>
      </w:r>
      <w:r>
        <w:t>ó</w:t>
      </w:r>
      <w:r w:rsidRPr="00AC2E90">
        <w:t>w tak,</w:t>
      </w:r>
      <w:r w:rsidR="00D42334">
        <w:t xml:space="preserve"> </w:t>
      </w:r>
      <w:r w:rsidRPr="00AC2E90">
        <w:t xml:space="preserve">aby </w:t>
      </w:r>
      <w:r>
        <w:t>uwzględnić</w:t>
      </w:r>
      <w:r w:rsidRPr="00AC2E90">
        <w:t xml:space="preserve"> oszczędności energii w dłuższym okresie czasu, wartości rezydualne</w:t>
      </w:r>
      <w:r w:rsidR="00D42334">
        <w:t xml:space="preserve"> </w:t>
      </w:r>
      <w:r w:rsidRPr="00AC2E90">
        <w:t>inwestycji długoterminowych oraz stopy dyskonta.”</w:t>
      </w:r>
    </w:p>
    <w:p w:rsidR="0044685D" w:rsidRPr="00AC2E90" w:rsidRDefault="0044685D" w:rsidP="00D42334">
      <w:pPr>
        <w:spacing w:line="360" w:lineRule="auto"/>
        <w:contextualSpacing/>
        <w:jc w:val="both"/>
      </w:pPr>
    </w:p>
    <w:p w:rsidR="00E63F90" w:rsidRDefault="0044685D" w:rsidP="00E63F90">
      <w:pPr>
        <w:pStyle w:val="Akapitzlist"/>
        <w:numPr>
          <w:ilvl w:val="0"/>
          <w:numId w:val="24"/>
        </w:numPr>
        <w:spacing w:line="360" w:lineRule="auto"/>
        <w:jc w:val="both"/>
      </w:pPr>
      <w:r w:rsidRPr="00AC2E90">
        <w:t>Art. 53</w:t>
      </w:r>
      <w:r w:rsidR="00D42334">
        <w:t>.</w:t>
      </w:r>
      <w:r>
        <w:t xml:space="preserve"> </w:t>
      </w:r>
    </w:p>
    <w:p w:rsidR="0044685D" w:rsidRDefault="0044685D" w:rsidP="00E63F90">
      <w:pPr>
        <w:spacing w:line="360" w:lineRule="auto"/>
        <w:ind w:left="360"/>
        <w:jc w:val="both"/>
      </w:pPr>
      <w:r w:rsidRPr="00AC2E90">
        <w:t>Świadectwa efektywności energetycznej, wydane na podstawie ustawy z dnia</w:t>
      </w:r>
      <w:r w:rsidR="00E63F90">
        <w:t xml:space="preserve"> </w:t>
      </w:r>
      <w:r w:rsidRPr="00AC2E90">
        <w:t xml:space="preserve">15 kwietnia 2011 r. </w:t>
      </w:r>
      <w:r>
        <w:t>o</w:t>
      </w:r>
      <w:r w:rsidRPr="00AC2E90">
        <w:t xml:space="preserve"> efektywności energetycznej zachowują</w:t>
      </w:r>
      <w:r>
        <w:t xml:space="preserve"> </w:t>
      </w:r>
      <w:r w:rsidR="00E63F90">
        <w:t>ważność</w:t>
      </w:r>
      <w:r w:rsidR="00D42334">
        <w:t>.</w:t>
      </w:r>
    </w:p>
    <w:p w:rsidR="0044685D" w:rsidRPr="00AC2E90" w:rsidRDefault="0044685D">
      <w:pPr>
        <w:spacing w:line="360" w:lineRule="auto"/>
        <w:contextualSpacing/>
        <w:jc w:val="both"/>
      </w:pPr>
    </w:p>
    <w:p w:rsidR="00E63F90" w:rsidRDefault="0044685D" w:rsidP="00E63F90">
      <w:pPr>
        <w:pStyle w:val="Akapitzlist"/>
        <w:numPr>
          <w:ilvl w:val="0"/>
          <w:numId w:val="24"/>
        </w:numPr>
        <w:spacing w:line="360" w:lineRule="auto"/>
      </w:pPr>
      <w:r w:rsidRPr="00AC2E90">
        <w:t xml:space="preserve">Art. 55. </w:t>
      </w:r>
    </w:p>
    <w:p w:rsidR="0044685D" w:rsidRPr="00AC2E90" w:rsidRDefault="0044685D" w:rsidP="00E63F90">
      <w:pPr>
        <w:spacing w:line="360" w:lineRule="auto"/>
        <w:ind w:left="360"/>
      </w:pPr>
      <w:r w:rsidRPr="00AC2E90">
        <w:t>Przedsi</w:t>
      </w:r>
      <w:r>
        <w:t>ę</w:t>
      </w:r>
      <w:r w:rsidRPr="00AC2E90">
        <w:t xml:space="preserve">wzięcie lub </w:t>
      </w:r>
      <w:r>
        <w:t>przedsięwzięcia</w:t>
      </w:r>
      <w:r w:rsidRPr="00AC2E90">
        <w:t xml:space="preserve"> służ</w:t>
      </w:r>
      <w:r>
        <w:t>ą</w:t>
      </w:r>
      <w:r w:rsidRPr="00AC2E90">
        <w:t>ce</w:t>
      </w:r>
      <w:r>
        <w:t xml:space="preserve"> poprawi</w:t>
      </w:r>
      <w:r w:rsidRPr="00AC2E90">
        <w:t>e efektywności</w:t>
      </w:r>
      <w:r w:rsidR="00E63F90">
        <w:t xml:space="preserve"> </w:t>
      </w:r>
      <w:r w:rsidRPr="00AC2E90">
        <w:t>e</w:t>
      </w:r>
      <w:r w:rsidR="00E63F90">
        <w:t xml:space="preserve">nergetycznej </w:t>
      </w:r>
      <w:r w:rsidRPr="00AC2E90">
        <w:t>zakończone przed dniem wej</w:t>
      </w:r>
      <w:r>
        <w:t>ś</w:t>
      </w:r>
      <w:r w:rsidRPr="00AC2E90">
        <w:t xml:space="preserve">cia w </w:t>
      </w:r>
      <w:r>
        <w:t>ż</w:t>
      </w:r>
      <w:r w:rsidRPr="00AC2E90">
        <w:t>y</w:t>
      </w:r>
      <w:r>
        <w:t>c</w:t>
      </w:r>
      <w:r w:rsidRPr="00AC2E90">
        <w:t>ie ustawy ale nie wcześniej niż przed</w:t>
      </w:r>
      <w:r w:rsidR="00E63F90">
        <w:t xml:space="preserve"> </w:t>
      </w:r>
      <w:r w:rsidRPr="00AC2E90">
        <w:t>dniem 1 stycznia 2014 r., dla k</w:t>
      </w:r>
      <w:r>
        <w:t>tór</w:t>
      </w:r>
      <w:r w:rsidRPr="00AC2E90">
        <w:t>ych nie wydano świadectw efektywności energetycznej w</w:t>
      </w:r>
      <w:r w:rsidR="00E63F90">
        <w:t xml:space="preserve"> </w:t>
      </w:r>
      <w:r w:rsidRPr="00AC2E90">
        <w:t xml:space="preserve">rozumieniu ustawy z dnia 15 kwietnia 20 11 </w:t>
      </w:r>
      <w:r w:rsidR="00E63F90">
        <w:t>r. o efektywności energetycznej</w:t>
      </w:r>
      <w:r w:rsidRPr="00AC2E90">
        <w:t>, mogą</w:t>
      </w:r>
      <w:r>
        <w:t xml:space="preserve"> być</w:t>
      </w:r>
      <w:r w:rsidR="00E63F90">
        <w:t xml:space="preserve"> </w:t>
      </w:r>
      <w:r w:rsidRPr="00AC2E90">
        <w:t>zaliczone na poczet obowi</w:t>
      </w:r>
      <w:r>
        <w:t>ą</w:t>
      </w:r>
      <w:r w:rsidRPr="00AC2E90">
        <w:t xml:space="preserve">zku, o </w:t>
      </w:r>
      <w:r>
        <w:t>którym</w:t>
      </w:r>
      <w:r w:rsidRPr="00AC2E90">
        <w:t xml:space="preserve"> mowa w art. 10 ust. 1 pkt 1 ustawy.”</w:t>
      </w:r>
    </w:p>
    <w:p w:rsidR="0044685D" w:rsidRDefault="0044685D" w:rsidP="00CD2856">
      <w:pPr>
        <w:spacing w:line="360" w:lineRule="auto"/>
        <w:contextualSpacing/>
        <w:rPr>
          <w:b/>
        </w:rPr>
      </w:pPr>
    </w:p>
    <w:p w:rsidR="0044685D" w:rsidRDefault="0044685D" w:rsidP="00CD2856">
      <w:pPr>
        <w:spacing w:line="360" w:lineRule="auto"/>
        <w:contextualSpacing/>
        <w:rPr>
          <w:b/>
        </w:rPr>
      </w:pPr>
    </w:p>
    <w:p w:rsidR="00E07B2C" w:rsidRDefault="00853DCE" w:rsidP="00CD2856">
      <w:pPr>
        <w:spacing w:line="360" w:lineRule="auto"/>
        <w:contextualSpacing/>
        <w:rPr>
          <w:b/>
        </w:rPr>
      </w:pPr>
      <w:r w:rsidRPr="00220763">
        <w:rPr>
          <w:b/>
        </w:rPr>
        <w:t>2. Proponowane brzmienie zmian legislacyjnych</w:t>
      </w:r>
    </w:p>
    <w:p w:rsidR="00CD2856" w:rsidRPr="00220763" w:rsidRDefault="00CD2856" w:rsidP="00CD2856">
      <w:pPr>
        <w:spacing w:line="360" w:lineRule="auto"/>
        <w:contextualSpacing/>
        <w:rPr>
          <w:b/>
        </w:rPr>
      </w:pPr>
    </w:p>
    <w:p w:rsidR="0087438E" w:rsidRDefault="0087438E" w:rsidP="0087438E">
      <w:pPr>
        <w:spacing w:line="360" w:lineRule="auto"/>
        <w:jc w:val="both"/>
      </w:pPr>
      <w:r w:rsidRPr="00972795">
        <w:t>W przyjętym przez Radę Ministrów w dniu 23.02.2016 r. projekcie ustawy o efektywności energetycznej (tekst, KRM-1024-15):</w:t>
      </w:r>
    </w:p>
    <w:p w:rsidR="0087438E" w:rsidRPr="00972795" w:rsidRDefault="0087438E" w:rsidP="0087438E">
      <w:pPr>
        <w:spacing w:line="360" w:lineRule="auto"/>
        <w:jc w:val="both"/>
      </w:pPr>
    </w:p>
    <w:p w:rsidR="0087438E" w:rsidRPr="00972795" w:rsidRDefault="0087438E" w:rsidP="0087438E">
      <w:pPr>
        <w:pStyle w:val="Akapitzlist"/>
        <w:numPr>
          <w:ilvl w:val="0"/>
          <w:numId w:val="20"/>
        </w:numPr>
        <w:spacing w:before="0" w:after="200" w:line="360" w:lineRule="auto"/>
      </w:pPr>
      <w:r w:rsidRPr="00972795">
        <w:t>a</w:t>
      </w:r>
      <w:r>
        <w:t>rt. 10 ust. 1</w:t>
      </w:r>
      <w:r w:rsidRPr="00972795">
        <w:t xml:space="preserve"> pkt 2 otrzymuje brzmienie:</w:t>
      </w:r>
    </w:p>
    <w:p w:rsidR="0087438E" w:rsidRPr="00972795" w:rsidRDefault="0087438E" w:rsidP="0087438E">
      <w:pPr>
        <w:pStyle w:val="Akapitzlist"/>
        <w:spacing w:line="360" w:lineRule="auto"/>
      </w:pPr>
    </w:p>
    <w:p w:rsidR="0087438E" w:rsidRPr="00972795" w:rsidRDefault="0087438E" w:rsidP="0087438E">
      <w:pPr>
        <w:pStyle w:val="Akapitzlist"/>
        <w:spacing w:line="360" w:lineRule="auto"/>
        <w:jc w:val="both"/>
      </w:pPr>
      <w:r w:rsidRPr="00972795">
        <w:t>„2) uzyskać i przedstawić do umorzenia Prezesowi URE świadectwo efektywności energetycznej, o których mowa w art. 20 ust. 1</w:t>
      </w:r>
      <w:r w:rsidRPr="00972795">
        <w:rPr>
          <w:b/>
        </w:rPr>
        <w:t>, art. 53 oraz art. 55</w:t>
      </w:r>
      <w:r>
        <w:rPr>
          <w:b/>
        </w:rPr>
        <w:t xml:space="preserve"> ust. 3</w:t>
      </w:r>
      <w:r w:rsidRPr="00972795">
        <w:t>”;</w:t>
      </w:r>
    </w:p>
    <w:p w:rsidR="00D958B0" w:rsidRPr="00972795" w:rsidRDefault="00D958B0" w:rsidP="00E63F90">
      <w:pPr>
        <w:spacing w:line="360" w:lineRule="auto"/>
      </w:pPr>
    </w:p>
    <w:p w:rsidR="0087438E" w:rsidRPr="00972795" w:rsidRDefault="0087438E" w:rsidP="0087438E">
      <w:pPr>
        <w:pStyle w:val="Akapitzlist"/>
        <w:numPr>
          <w:ilvl w:val="0"/>
          <w:numId w:val="20"/>
        </w:numPr>
        <w:spacing w:before="0" w:after="200" w:line="360" w:lineRule="auto"/>
      </w:pPr>
      <w:r w:rsidRPr="00972795">
        <w:t>art. 15 otrzymuje brzmienie:</w:t>
      </w:r>
    </w:p>
    <w:p w:rsidR="0087438E" w:rsidRPr="00972795" w:rsidRDefault="0087438E" w:rsidP="0087438E">
      <w:pPr>
        <w:pStyle w:val="Akapitzlist"/>
        <w:spacing w:line="360" w:lineRule="auto"/>
      </w:pPr>
    </w:p>
    <w:p w:rsidR="0087438E" w:rsidRDefault="00E63F90" w:rsidP="00E63F90">
      <w:pPr>
        <w:spacing w:line="360" w:lineRule="auto"/>
        <w:ind w:left="360"/>
        <w:jc w:val="both"/>
      </w:pPr>
      <w:r>
        <w:t>„</w:t>
      </w:r>
      <w:r w:rsidR="0087438E" w:rsidRPr="00972795">
        <w:t xml:space="preserve">Art. 15. 1. Odbiorca końcowy, który w roku poprzedzającym rok realizacji obowiązku, o którym mowa w art. 10 ust. 1, zużył nie mniej niż 100 </w:t>
      </w:r>
      <w:proofErr w:type="spellStart"/>
      <w:r w:rsidR="0087438E" w:rsidRPr="00972795">
        <w:t>GWh</w:t>
      </w:r>
      <w:proofErr w:type="spellEnd"/>
      <w:r w:rsidR="0087438E" w:rsidRPr="00972795">
        <w:t xml:space="preserve"> energii elektrycznej i dla którego udział kosztu energii elektrycznej</w:t>
      </w:r>
      <w:r w:rsidR="0087438E" w:rsidRPr="00972795">
        <w:rPr>
          <w:b/>
        </w:rPr>
        <w:t>, ciepła oraz gazu ziemnego</w:t>
      </w:r>
      <w:r w:rsidR="0087438E" w:rsidRPr="00972795">
        <w:t xml:space="preserve"> w wartości jego produkcji</w:t>
      </w:r>
      <w:r w:rsidR="009336FE">
        <w:t xml:space="preserve"> </w:t>
      </w:r>
      <w:r w:rsidR="009336FE" w:rsidRPr="0087438E">
        <w:rPr>
          <w:highlight w:val="yellow"/>
        </w:rPr>
        <w:t xml:space="preserve">[ALTERNATYWNA WERSJA: w </w:t>
      </w:r>
      <w:r w:rsidR="007F7771">
        <w:rPr>
          <w:highlight w:val="yellow"/>
        </w:rPr>
        <w:t xml:space="preserve">jego </w:t>
      </w:r>
      <w:r w:rsidR="009336FE" w:rsidRPr="0087438E">
        <w:rPr>
          <w:highlight w:val="yellow"/>
        </w:rPr>
        <w:t>wartości dodanej brutto]</w:t>
      </w:r>
      <w:r w:rsidR="0087438E">
        <w:t xml:space="preserve"> </w:t>
      </w:r>
      <w:r w:rsidR="0087438E" w:rsidRPr="00972795">
        <w:t xml:space="preserve">jest nie mniejszy niż </w:t>
      </w:r>
      <w:r w:rsidR="0087438E" w:rsidRPr="00972795">
        <w:rPr>
          <w:b/>
        </w:rPr>
        <w:t>3%</w:t>
      </w:r>
      <w:r w:rsidR="0087438E" w:rsidRPr="00972795">
        <w:t xml:space="preserve"> oraz</w:t>
      </w:r>
    </w:p>
    <w:p w:rsidR="0087438E" w:rsidRPr="00972795" w:rsidRDefault="0087438E" w:rsidP="0087438E">
      <w:pPr>
        <w:pStyle w:val="Akapitzlist"/>
        <w:numPr>
          <w:ilvl w:val="0"/>
          <w:numId w:val="21"/>
        </w:numPr>
        <w:spacing w:before="0" w:after="200" w:line="360" w:lineRule="auto"/>
        <w:jc w:val="both"/>
      </w:pPr>
      <w:r w:rsidRPr="00972795">
        <w:t xml:space="preserve">zakończył, nie wcześniej niż w dniu 1 stycznia 2014 r., przedsięwzięcie lub przedsięwzięcia tego samego rodzaju służące poprawie efektywności energetycznej, ograniczając zużycie energii elektrycznej, </w:t>
      </w:r>
      <w:r w:rsidRPr="00972795">
        <w:rPr>
          <w:b/>
        </w:rPr>
        <w:t>ciepła lub gazu ziemnego</w:t>
      </w:r>
      <w:r w:rsidRPr="00972795">
        <w:t xml:space="preserve"> w przeliczeniu na wielkość produkcji o nie mniej niż 1,5 % rocznie w stosunku do średniej jego wielkości z lat 2011 – 2013 lub</w:t>
      </w:r>
    </w:p>
    <w:p w:rsidR="0087438E" w:rsidRPr="00972795" w:rsidRDefault="0087438E" w:rsidP="0087438E">
      <w:pPr>
        <w:pStyle w:val="Akapitzlist"/>
        <w:numPr>
          <w:ilvl w:val="0"/>
          <w:numId w:val="21"/>
        </w:numPr>
        <w:spacing w:before="0" w:after="200" w:line="360" w:lineRule="auto"/>
        <w:jc w:val="both"/>
        <w:rPr>
          <w:rStyle w:val="Kkursywa"/>
          <w:i w:val="0"/>
        </w:rPr>
      </w:pPr>
      <w:r w:rsidRPr="00972795">
        <w:t xml:space="preserve">zakończył, </w:t>
      </w:r>
      <w:r w:rsidRPr="00972795">
        <w:rPr>
          <w:b/>
        </w:rPr>
        <w:t>nie wcześniej niż w dniu 31 grudnia 2008 r.</w:t>
      </w:r>
      <w:r w:rsidRPr="00972795">
        <w:t xml:space="preserve"> </w:t>
      </w:r>
      <w:r w:rsidRPr="00972795">
        <w:rPr>
          <w:b/>
        </w:rPr>
        <w:t>i nie później niż w dniu 31 grudnia 2013 r.</w:t>
      </w:r>
      <w:r w:rsidRPr="00972795">
        <w:t xml:space="preserve"> przedsięwzięcie lub przedsięwzięcia tego samego rodzaju służące poprawie efektywności energetycznej, </w:t>
      </w:r>
      <w:r w:rsidRPr="00972795">
        <w:rPr>
          <w:b/>
        </w:rPr>
        <w:t>dla których nie wydano świadectw efektywności energetycznej w rozumieniu ustawy z dnia 15 kwietnia 2011 r. o efektywności energetycznej</w:t>
      </w:r>
      <w:r w:rsidRPr="00972795">
        <w:t xml:space="preserve">, ograniczając zużycie energii elektrycznej, </w:t>
      </w:r>
      <w:r w:rsidRPr="00972795">
        <w:rPr>
          <w:b/>
        </w:rPr>
        <w:t>ciepła lub gazu ziemnego</w:t>
      </w:r>
      <w:r w:rsidRPr="00972795">
        <w:t xml:space="preserve"> w przeliczeniu na wielkość produkcji o nie mniej niż 1,5% rocznie w stosunku do średniej jego wielkości z lat </w:t>
      </w:r>
      <w:r w:rsidRPr="00972795">
        <w:rPr>
          <w:b/>
        </w:rPr>
        <w:t>2006 – 2008, a istnieje uzasadnione przypuszczenie, że będą one nadal miały znaczenie w 2020 r.</w:t>
      </w:r>
    </w:p>
    <w:p w:rsidR="0087438E" w:rsidRPr="00972795" w:rsidRDefault="0087438E" w:rsidP="0087438E">
      <w:pPr>
        <w:pStyle w:val="Akapitzlist"/>
        <w:spacing w:line="360" w:lineRule="auto"/>
        <w:ind w:left="708" w:firstLine="360"/>
        <w:jc w:val="both"/>
      </w:pPr>
      <w:r w:rsidRPr="00972795">
        <w:t xml:space="preserve">-  przedkłada przedsiębiorstwom energetycznym sprzedającym temu odbiorcy energię elektryczną, </w:t>
      </w:r>
      <w:r w:rsidRPr="00972795">
        <w:rPr>
          <w:b/>
        </w:rPr>
        <w:t>ciepło lub gaz ziemny</w:t>
      </w:r>
      <w:r w:rsidRPr="00972795">
        <w:rPr>
          <w:i/>
        </w:rPr>
        <w:t xml:space="preserve">, </w:t>
      </w:r>
      <w:r w:rsidRPr="00972795">
        <w:t xml:space="preserve">informację, o której mowa w ust. 2, oraz </w:t>
      </w:r>
      <w:r w:rsidRPr="00972795">
        <w:lastRenderedPageBreak/>
        <w:t xml:space="preserve">oświadczenie następującej treści: „Świadomy odpowiedzialności karnej za złożenie fałszywego oświadczenia wynikającej z art. 233 § 6 ustawy z dnia 6 czerwca 1997 r. − Kodeks karny oświadczam, że zrealizowałem przedsięwzięcie lub przedsięwzięcia tego samego rodzaju służące poprawie efektywności energetycznej i uzyskana została oszczędność energii finalnej, wyrażona w tonach oleju ekwiwalentnego, potwierdzona w audycie efektywności energetycznej w rozumieniu ustawy z dnia ….o efektywności energetycznej (Dz. U. </w:t>
      </w:r>
      <w:proofErr w:type="spellStart"/>
      <w:r w:rsidRPr="00972795">
        <w:t>poz</w:t>
      </w:r>
      <w:proofErr w:type="spellEnd"/>
      <w:r w:rsidRPr="00972795">
        <w:t>…).”; klauzula ta zastępuje pouczenie organu o odpowiedzialności karnej za składanie fałszywych zeznań.</w:t>
      </w:r>
    </w:p>
    <w:p w:rsidR="0087438E" w:rsidRPr="00972795" w:rsidRDefault="0087438E" w:rsidP="0087438E">
      <w:pPr>
        <w:pStyle w:val="Akapitzlist"/>
        <w:spacing w:line="360" w:lineRule="auto"/>
        <w:ind w:left="708" w:firstLine="360"/>
        <w:jc w:val="both"/>
      </w:pPr>
      <w:r w:rsidRPr="00972795">
        <w:t>2. Informacja, o której mowa w ust. 1, zawiera określenie:</w:t>
      </w:r>
    </w:p>
    <w:p w:rsidR="0087438E" w:rsidRPr="0087438E" w:rsidRDefault="0087438E" w:rsidP="0087438E">
      <w:pPr>
        <w:pStyle w:val="Akapitzlist"/>
        <w:numPr>
          <w:ilvl w:val="0"/>
          <w:numId w:val="22"/>
        </w:numPr>
        <w:spacing w:before="0" w:after="200" w:line="360" w:lineRule="auto"/>
        <w:jc w:val="both"/>
      </w:pPr>
      <w:r w:rsidRPr="00972795">
        <w:t xml:space="preserve">przedsięwzięcia lub przedsięwzięć tego samego rodzaju służących poprawie </w:t>
      </w:r>
      <w:r w:rsidRPr="0087438E">
        <w:t>efektywności energetycznej, o których mowa w ust. 1;</w:t>
      </w:r>
    </w:p>
    <w:p w:rsidR="0087438E" w:rsidRPr="0087438E" w:rsidRDefault="0087438E" w:rsidP="0087438E">
      <w:pPr>
        <w:pStyle w:val="Akapitzlist"/>
        <w:numPr>
          <w:ilvl w:val="0"/>
          <w:numId w:val="22"/>
        </w:numPr>
        <w:spacing w:before="0" w:after="200" w:line="360" w:lineRule="auto"/>
        <w:jc w:val="both"/>
      </w:pPr>
      <w:r w:rsidRPr="0087438E">
        <w:t xml:space="preserve">ilości </w:t>
      </w:r>
      <w:r w:rsidRPr="0087438E">
        <w:rPr>
          <w:rStyle w:val="Kkursywa"/>
          <w:i w:val="0"/>
        </w:rPr>
        <w:t>energii finalnej</w:t>
      </w:r>
      <w:r w:rsidRPr="0087438E">
        <w:rPr>
          <w:i/>
        </w:rPr>
        <w:t xml:space="preserve">, </w:t>
      </w:r>
      <w:r w:rsidRPr="0087438E">
        <w:t>wyrażonej w tonach oleju ekwiwalentnego, zaoszczędzonej średnio w ciągu roku w wyniku realizacji przedsięwzięcia lub przedsięwzięć tego samego rodzaju służących poprawie efektywności energetycznej, o których mowa w ust. 1 pkt 1 i 2;</w:t>
      </w:r>
    </w:p>
    <w:p w:rsidR="0087438E" w:rsidRPr="00972795" w:rsidRDefault="0087438E" w:rsidP="0087438E">
      <w:pPr>
        <w:pStyle w:val="Akapitzlist"/>
        <w:numPr>
          <w:ilvl w:val="0"/>
          <w:numId w:val="22"/>
        </w:numPr>
        <w:spacing w:before="0" w:after="200" w:line="360" w:lineRule="auto"/>
        <w:jc w:val="both"/>
      </w:pPr>
      <w:r w:rsidRPr="0087438E">
        <w:t xml:space="preserve">ilości </w:t>
      </w:r>
      <w:r w:rsidRPr="0087438E">
        <w:rPr>
          <w:rStyle w:val="Kkursywa"/>
          <w:i w:val="0"/>
        </w:rPr>
        <w:t>energii finalnej</w:t>
      </w:r>
      <w:r w:rsidRPr="0087438E">
        <w:rPr>
          <w:rStyle w:val="Kkursywa"/>
        </w:rPr>
        <w:t>,</w:t>
      </w:r>
      <w:r w:rsidRPr="0087438E">
        <w:rPr>
          <w:rStyle w:val="Kkursywa"/>
          <w:b/>
        </w:rPr>
        <w:t xml:space="preserve"> </w:t>
      </w:r>
      <w:r w:rsidRPr="0087438E">
        <w:t>wyrażonej</w:t>
      </w:r>
      <w:r w:rsidRPr="00972795">
        <w:t xml:space="preserve"> w tonach oleju ekwiwalentnego, niezbędnej do wykonania obowiązku, o którym mowa w art. 10 ust. 1, obliczonego od ilości </w:t>
      </w:r>
      <w:r w:rsidRPr="00972795">
        <w:rPr>
          <w:b/>
        </w:rPr>
        <w:t xml:space="preserve">energii elektrycznej, ciepła lub gazu ziemnego </w:t>
      </w:r>
      <w:r w:rsidRPr="00972795">
        <w:t>zakupionego w danym roku przez odbiorcę końcowego, o którym mowa w ust. 1;</w:t>
      </w:r>
    </w:p>
    <w:p w:rsidR="0087438E" w:rsidRPr="00972795" w:rsidRDefault="0087438E" w:rsidP="00E63F90">
      <w:pPr>
        <w:pStyle w:val="Akapitzlist"/>
        <w:spacing w:line="360" w:lineRule="auto"/>
        <w:ind w:left="708"/>
        <w:jc w:val="both"/>
      </w:pPr>
      <w:r w:rsidRPr="00972795">
        <w:t>3. Do oświadczenia, o którym mowa w ust. 1, należy dołączyć audyt efektywności energetycznej potwierdzający uzyskaną oszczędność energii finalnej.</w:t>
      </w:r>
    </w:p>
    <w:p w:rsidR="0087438E" w:rsidRPr="00972795" w:rsidRDefault="00E63F90" w:rsidP="00E63F90">
      <w:pPr>
        <w:pStyle w:val="Akapitzlist"/>
        <w:spacing w:line="360" w:lineRule="auto"/>
        <w:ind w:left="708"/>
        <w:jc w:val="both"/>
      </w:pPr>
      <w:r>
        <w:t xml:space="preserve">4. </w:t>
      </w:r>
      <w:r w:rsidR="0087438E" w:rsidRPr="00972795">
        <w:t xml:space="preserve">Ilość </w:t>
      </w:r>
      <w:r w:rsidR="0087438E" w:rsidRPr="00972795">
        <w:rPr>
          <w:bCs/>
        </w:rPr>
        <w:t xml:space="preserve">energii </w:t>
      </w:r>
      <w:r w:rsidR="0087438E" w:rsidRPr="00972795">
        <w:t xml:space="preserve">finalnej, o której mowa w ust. 2 pkt 2, nie może być mniejsza niż ilość </w:t>
      </w:r>
      <w:r w:rsidR="0087438E" w:rsidRPr="00972795">
        <w:rPr>
          <w:bCs/>
        </w:rPr>
        <w:t xml:space="preserve">energii </w:t>
      </w:r>
      <w:r w:rsidR="0087438E" w:rsidRPr="00972795">
        <w:t>finalnej o której mowa w ust. 2 pkt 3.</w:t>
      </w:r>
    </w:p>
    <w:p w:rsidR="0087438E" w:rsidRPr="00972795" w:rsidRDefault="0087438E" w:rsidP="00E63F90">
      <w:pPr>
        <w:pStyle w:val="Akapitzlist"/>
        <w:spacing w:line="360" w:lineRule="auto"/>
        <w:ind w:left="708"/>
        <w:jc w:val="both"/>
      </w:pPr>
      <w:r w:rsidRPr="00972795">
        <w:t>5. Przedsiębiorstwo energetyczne</w:t>
      </w:r>
      <w:r w:rsidRPr="00972795">
        <w:rPr>
          <w:b/>
          <w:bCs/>
        </w:rPr>
        <w:t>,</w:t>
      </w:r>
      <w:r w:rsidRPr="00972795">
        <w:t xml:space="preserve"> które otrzymało oświadczenie wraz z audytem efektywności energetycznej, o których mowa w ust. 1, przekazuje Prezesowi URE oświadczenie i audyt podczas wykonywania obowiązku, o którym mowa w art. 10 ust. 1.</w:t>
      </w:r>
    </w:p>
    <w:p w:rsidR="0087438E" w:rsidRPr="00972795" w:rsidRDefault="0087438E" w:rsidP="00E63F90">
      <w:pPr>
        <w:pStyle w:val="Akapitzlist"/>
        <w:spacing w:line="360" w:lineRule="auto"/>
        <w:ind w:left="708"/>
        <w:jc w:val="both"/>
      </w:pPr>
      <w:r w:rsidRPr="00972795">
        <w:t xml:space="preserve">6. Odbiorca końcowy, o którym mowa w ust. 1, może w kolejnych latach przedstawić przedsiębiorstwom </w:t>
      </w:r>
      <w:r w:rsidRPr="0087438E">
        <w:t xml:space="preserve">energetycznym </w:t>
      </w:r>
      <w:r w:rsidRPr="0087438E">
        <w:rPr>
          <w:rStyle w:val="Kkursywa"/>
          <w:i w:val="0"/>
        </w:rPr>
        <w:t xml:space="preserve">sprzedającym temu odbiorcy </w:t>
      </w:r>
      <w:r w:rsidRPr="0087438E">
        <w:rPr>
          <w:rStyle w:val="Kkursywa"/>
          <w:b/>
          <w:i w:val="0"/>
        </w:rPr>
        <w:t>energię</w:t>
      </w:r>
      <w:r w:rsidRPr="0087438E">
        <w:rPr>
          <w:rStyle w:val="Kkursywa"/>
          <w:b/>
        </w:rPr>
        <w:t xml:space="preserve"> </w:t>
      </w:r>
      <w:r w:rsidRPr="0087438E">
        <w:rPr>
          <w:b/>
        </w:rPr>
        <w:t>elektryczną, ciepło lub gaz ziemny</w:t>
      </w:r>
      <w:r w:rsidRPr="0087438E">
        <w:rPr>
          <w:rStyle w:val="Kkursywa"/>
          <w:b/>
        </w:rPr>
        <w:t xml:space="preserve"> </w:t>
      </w:r>
      <w:r w:rsidRPr="0087438E">
        <w:t>oświadczenia</w:t>
      </w:r>
      <w:r w:rsidRPr="00972795">
        <w:t xml:space="preserve"> zawierające dane dotyczące tego samego przedsięwzięcia lub przedsięwzięć tego samego rodzaju służących poprawie efektywności energetycznej, jeżeli suma ilości </w:t>
      </w:r>
      <w:r w:rsidRPr="00972795">
        <w:rPr>
          <w:bCs/>
        </w:rPr>
        <w:t xml:space="preserve">energii </w:t>
      </w:r>
      <w:r w:rsidRPr="00972795">
        <w:t>finalnej o której mowa w ust. 2 pkt 3, określonej w poszczególnych oświadczeniach jest nie większa, niż ilość energii finalnej, o której mowa w ust. 2 pkt 2.</w:t>
      </w:r>
    </w:p>
    <w:p w:rsidR="0087438E" w:rsidRDefault="0087438E" w:rsidP="0087438E">
      <w:pPr>
        <w:pStyle w:val="Akapitzlist"/>
        <w:spacing w:line="360" w:lineRule="auto"/>
        <w:ind w:left="1416"/>
      </w:pPr>
    </w:p>
    <w:p w:rsidR="00E63F90" w:rsidRPr="00972795" w:rsidRDefault="00E63F90" w:rsidP="0087438E">
      <w:pPr>
        <w:pStyle w:val="Akapitzlist"/>
        <w:spacing w:line="360" w:lineRule="auto"/>
        <w:ind w:left="1416"/>
      </w:pPr>
    </w:p>
    <w:p w:rsidR="0087438E" w:rsidRPr="00972795" w:rsidRDefault="0087438E" w:rsidP="0087438E">
      <w:pPr>
        <w:pStyle w:val="Akapitzlist"/>
        <w:numPr>
          <w:ilvl w:val="0"/>
          <w:numId w:val="20"/>
        </w:numPr>
        <w:suppressAutoHyphens/>
        <w:autoSpaceDE w:val="0"/>
        <w:autoSpaceDN w:val="0"/>
        <w:adjustRightInd w:val="0"/>
        <w:spacing w:before="0" w:after="200" w:line="360" w:lineRule="auto"/>
        <w:jc w:val="both"/>
      </w:pPr>
      <w:r w:rsidRPr="00972795">
        <w:t>w art. 36 ust. 2 otrzymuje brzmienie:</w:t>
      </w:r>
    </w:p>
    <w:p w:rsidR="0087438E" w:rsidRPr="00972795" w:rsidRDefault="0087438E" w:rsidP="00E63F90">
      <w:pPr>
        <w:suppressAutoHyphens/>
        <w:autoSpaceDE w:val="0"/>
        <w:autoSpaceDN w:val="0"/>
        <w:adjustRightInd w:val="0"/>
        <w:spacing w:line="360" w:lineRule="auto"/>
        <w:ind w:firstLine="709"/>
        <w:jc w:val="both"/>
      </w:pPr>
      <w:r w:rsidRPr="00972795">
        <w:t xml:space="preserve">„2. Przepisu ust. 1 nie stosuje się do przedsiębiorcy </w:t>
      </w:r>
      <w:r w:rsidRPr="00972795">
        <w:rPr>
          <w:b/>
        </w:rPr>
        <w:t>posiadającego</w:t>
      </w:r>
      <w:r w:rsidRPr="00972795">
        <w:t>:</w:t>
      </w:r>
    </w:p>
    <w:p w:rsidR="0087438E" w:rsidRPr="00972795" w:rsidRDefault="0087438E" w:rsidP="0087438E">
      <w:pPr>
        <w:pStyle w:val="Akapitzlist"/>
        <w:spacing w:line="360" w:lineRule="auto"/>
        <w:jc w:val="both"/>
      </w:pPr>
      <w:r w:rsidRPr="00972795">
        <w:t xml:space="preserve">1) </w:t>
      </w:r>
      <w:r w:rsidRPr="00972795">
        <w:rPr>
          <w:b/>
        </w:rPr>
        <w:t>system zarządzania energią określony w normie ISO 50001 lub</w:t>
      </w:r>
    </w:p>
    <w:p w:rsidR="0087438E" w:rsidRPr="00972795" w:rsidRDefault="0087438E" w:rsidP="0087438E">
      <w:pPr>
        <w:pStyle w:val="Akapitzlist"/>
        <w:spacing w:line="360" w:lineRule="auto"/>
        <w:jc w:val="both"/>
      </w:pPr>
      <w:r w:rsidRPr="00972795">
        <w:t>2) system zarządzania energią określony we</w:t>
      </w:r>
      <w:r w:rsidRPr="00972795">
        <w:rPr>
          <w:b/>
        </w:rPr>
        <w:t xml:space="preserve"> </w:t>
      </w:r>
      <w:r w:rsidRPr="00972795">
        <w:t xml:space="preserve">właściwych normach, jeżeli w ramach tego systemu przeprowadzono audyt energetyczny przedsiębiorstwa, lub </w:t>
      </w:r>
    </w:p>
    <w:p w:rsidR="0087438E" w:rsidRPr="00972795" w:rsidRDefault="0087438E" w:rsidP="0087438E">
      <w:pPr>
        <w:pStyle w:val="Akapitzlist"/>
        <w:spacing w:line="360" w:lineRule="auto"/>
        <w:jc w:val="both"/>
      </w:pPr>
      <w:r w:rsidRPr="00972795">
        <w:t xml:space="preserve">3) system zarządzania środowiskowego, o którym mowa w art. 2 pkt 13 rozporządzenia Parlamentu Europejskiego i Rady (WE) nr 1221/2009 z 25 listopada 2009 r. w sprawie dobrowolnego udziału organizacji w systemie </w:t>
      </w:r>
      <w:proofErr w:type="spellStart"/>
      <w:r w:rsidRPr="00972795">
        <w:t>ekozarządzania</w:t>
      </w:r>
      <w:proofErr w:type="spellEnd"/>
      <w:r w:rsidRPr="00972795">
        <w:t xml:space="preserve"> i audytu we Wspólnocie (EMAS), uchylającego rozporządzenie (WE) nr 761/2001 oraz decyzje Komisji 2001/681/WE i 2006/193/WE, jeżeli w ramach tego systemu przeprowadzono audyt energetyczny przedsiębiorstwa.”</w:t>
      </w:r>
    </w:p>
    <w:p w:rsidR="00747892" w:rsidRPr="00972795" w:rsidRDefault="00747892" w:rsidP="00E63F90">
      <w:pPr>
        <w:spacing w:line="360" w:lineRule="auto"/>
      </w:pPr>
    </w:p>
    <w:p w:rsidR="0087438E" w:rsidRPr="00972795" w:rsidRDefault="0087438E" w:rsidP="0087438E">
      <w:pPr>
        <w:pStyle w:val="Akapitzlist"/>
        <w:numPr>
          <w:ilvl w:val="0"/>
          <w:numId w:val="20"/>
        </w:numPr>
        <w:spacing w:before="0" w:after="200" w:line="360" w:lineRule="auto"/>
      </w:pPr>
      <w:r w:rsidRPr="00972795">
        <w:t>w art. 37 ust. 2 otrzymuje brzmienie:</w:t>
      </w:r>
    </w:p>
    <w:p w:rsidR="0087438E" w:rsidRPr="00972795" w:rsidRDefault="0087438E" w:rsidP="0087438E">
      <w:pPr>
        <w:pStyle w:val="Akapitzlist"/>
        <w:spacing w:line="360" w:lineRule="auto"/>
        <w:jc w:val="both"/>
      </w:pPr>
    </w:p>
    <w:p w:rsidR="0087438E" w:rsidRPr="00972795" w:rsidRDefault="0087438E" w:rsidP="00E63F90">
      <w:pPr>
        <w:spacing w:line="360" w:lineRule="auto"/>
        <w:ind w:firstLine="709"/>
        <w:jc w:val="both"/>
      </w:pPr>
      <w:r w:rsidRPr="00972795">
        <w:t>„2. Audyt energetyczny przedsiębiorstwa:</w:t>
      </w:r>
    </w:p>
    <w:p w:rsidR="0087438E" w:rsidRPr="00972795" w:rsidRDefault="0087438E" w:rsidP="0087438E">
      <w:pPr>
        <w:pStyle w:val="Akapitzlist"/>
        <w:spacing w:line="360" w:lineRule="auto"/>
        <w:jc w:val="both"/>
      </w:pPr>
      <w:r w:rsidRPr="00972795">
        <w:t>1)</w:t>
      </w:r>
      <w:r w:rsidRPr="00972795">
        <w:tab/>
        <w:t>należy przeprowadzać na podstawie aktualnych, reprezentatywnych, mierzonych i możliwych do zidentyfikowania danych dotyczących zużycia energii oraz, w przypadku energii elektrycznej, zapotrzebowania na moc;</w:t>
      </w:r>
    </w:p>
    <w:p w:rsidR="0087438E" w:rsidRPr="00972795" w:rsidRDefault="0087438E" w:rsidP="0087438E">
      <w:pPr>
        <w:pStyle w:val="Akapitzlist"/>
        <w:spacing w:line="360" w:lineRule="auto"/>
        <w:jc w:val="both"/>
      </w:pPr>
      <w:r w:rsidRPr="00972795">
        <w:t>2)</w:t>
      </w:r>
      <w:r w:rsidRPr="00972795">
        <w:tab/>
        <w:t xml:space="preserve">powinien zawierać szczegółowy przegląd zużycia energii w budynkach lub zespołach budynków, w instalacjach przemysłowych oraz w transporcie, </w:t>
      </w:r>
      <w:r w:rsidRPr="00972795">
        <w:rPr>
          <w:b/>
        </w:rPr>
        <w:t>odpowiadających łącznie za co najmniej 80% całkowitego zużycia energii przez to przedsiębiorstwo</w:t>
      </w:r>
      <w:r w:rsidRPr="00972795">
        <w:t>;</w:t>
      </w:r>
    </w:p>
    <w:p w:rsidR="0087438E" w:rsidRPr="00972795" w:rsidRDefault="0087438E" w:rsidP="0087438E">
      <w:pPr>
        <w:pStyle w:val="Akapitzlist"/>
        <w:spacing w:line="360" w:lineRule="auto"/>
        <w:jc w:val="both"/>
      </w:pPr>
      <w:r w:rsidRPr="00972795">
        <w:t>3)</w:t>
      </w:r>
      <w:r w:rsidRPr="00972795">
        <w:tab/>
        <w:t>powinien opierać się, o ile to możliwe, na analizie kosztowej cyklu życia budynku lub zespołu budynków oraz instalacji przemysłowych, a nie na okresie zwrotu nakładów tak, aby uwzględnić oszczędności energii w dłuższym okresie czasu, wartości rezydualne inwestycji długoterminowych oraz stopy dyskonta.”</w:t>
      </w:r>
    </w:p>
    <w:p w:rsidR="0087438E" w:rsidRPr="00972795" w:rsidRDefault="0087438E" w:rsidP="0087438E">
      <w:pPr>
        <w:pStyle w:val="Akapitzlist"/>
        <w:spacing w:line="360" w:lineRule="auto"/>
      </w:pPr>
    </w:p>
    <w:p w:rsidR="0087438E" w:rsidRPr="00972795" w:rsidRDefault="0087438E" w:rsidP="0087438E">
      <w:pPr>
        <w:pStyle w:val="Akapitzlist"/>
        <w:numPr>
          <w:ilvl w:val="0"/>
          <w:numId w:val="20"/>
        </w:numPr>
        <w:spacing w:before="0" w:after="200" w:line="360" w:lineRule="auto"/>
      </w:pPr>
      <w:r w:rsidRPr="00972795">
        <w:t>art. 53 otrzymuje brzmienie:</w:t>
      </w:r>
    </w:p>
    <w:p w:rsidR="0087438E" w:rsidRPr="00972795" w:rsidRDefault="0087438E" w:rsidP="0087438E">
      <w:pPr>
        <w:pStyle w:val="Akapitzlist"/>
        <w:spacing w:line="360" w:lineRule="auto"/>
      </w:pPr>
    </w:p>
    <w:p w:rsidR="0087438E" w:rsidRPr="00972795" w:rsidRDefault="0087438E" w:rsidP="00E63F90">
      <w:pPr>
        <w:pStyle w:val="Akapitzlist"/>
        <w:spacing w:line="360" w:lineRule="auto"/>
        <w:jc w:val="both"/>
      </w:pPr>
      <w:r w:rsidRPr="00972795">
        <w:lastRenderedPageBreak/>
        <w:t xml:space="preserve">„Art. 53. Świadectwa efektywności energetycznej, wydane na podstawie ustawy z dnia 15 kwietnia 2011 r. o efektywności energetycznej zachowują ważność. </w:t>
      </w:r>
      <w:r>
        <w:rPr>
          <w:b/>
        </w:rPr>
        <w:t xml:space="preserve">Przepisy art. 30, </w:t>
      </w:r>
      <w:r w:rsidRPr="00972795">
        <w:rPr>
          <w:b/>
        </w:rPr>
        <w:t xml:space="preserve">31 </w:t>
      </w:r>
      <w:r>
        <w:rPr>
          <w:b/>
        </w:rPr>
        <w:t xml:space="preserve">i 32 </w:t>
      </w:r>
      <w:r w:rsidRPr="00972795">
        <w:rPr>
          <w:b/>
        </w:rPr>
        <w:t>stosuje się odpowiednio.</w:t>
      </w:r>
      <w:r w:rsidRPr="00972795">
        <w:t>”;</w:t>
      </w:r>
    </w:p>
    <w:p w:rsidR="0087438E" w:rsidRPr="00972795" w:rsidRDefault="0087438E" w:rsidP="0087438E">
      <w:pPr>
        <w:pStyle w:val="Akapitzlist"/>
        <w:numPr>
          <w:ilvl w:val="0"/>
          <w:numId w:val="20"/>
        </w:numPr>
        <w:spacing w:before="0" w:after="200" w:line="360" w:lineRule="auto"/>
      </w:pPr>
      <w:r w:rsidRPr="00972795">
        <w:t>art. 55 otrzymuje brzmienie:</w:t>
      </w:r>
    </w:p>
    <w:p w:rsidR="0087438E" w:rsidRPr="00972795" w:rsidRDefault="0087438E" w:rsidP="0087438E">
      <w:pPr>
        <w:pStyle w:val="Akapitzlist"/>
        <w:spacing w:line="360" w:lineRule="auto"/>
        <w:ind w:firstLine="696"/>
        <w:jc w:val="both"/>
        <w:rPr>
          <w:b/>
        </w:rPr>
      </w:pPr>
    </w:p>
    <w:p w:rsidR="0087438E" w:rsidRPr="00972795" w:rsidRDefault="0087438E" w:rsidP="00E63F90">
      <w:pPr>
        <w:pStyle w:val="Akapitzlist"/>
        <w:spacing w:line="360" w:lineRule="auto"/>
        <w:jc w:val="both"/>
        <w:rPr>
          <w:b/>
        </w:rPr>
      </w:pPr>
      <w:r w:rsidRPr="003A7FC9">
        <w:t>"Art.</w:t>
      </w:r>
      <w:r w:rsidRPr="00972795">
        <w:rPr>
          <w:b/>
        </w:rPr>
        <w:t xml:space="preserve"> </w:t>
      </w:r>
      <w:r w:rsidRPr="00E63F90">
        <w:t>55. 1.</w:t>
      </w:r>
      <w:r w:rsidRPr="00972795">
        <w:rPr>
          <w:b/>
        </w:rPr>
        <w:t xml:space="preserve"> </w:t>
      </w:r>
      <w:r w:rsidRPr="00972795">
        <w:t>Przedsięwzięcie lub przedsięwzięcia służące poprawie efektywności energetycznej zakończone przed dniem wejścia w życie ustawy ale nie wcześniej niż przed dniem 1 stycznia 2014 r., dl</w:t>
      </w:r>
      <w:r>
        <w:t>a których nie wy</w:t>
      </w:r>
      <w:r w:rsidRPr="00972795">
        <w:t>dano świadectw efektywności energetycznej w rozumieniu ustawy z dnia 15 kwietnia 2011 r. o efektywności energetycznej</w:t>
      </w:r>
      <w:r>
        <w:t xml:space="preserve"> </w:t>
      </w:r>
      <w:r>
        <w:rPr>
          <w:b/>
        </w:rPr>
        <w:t>oraz świadectw efektywności energetycznej, o których mowa w ust. 3</w:t>
      </w:r>
      <w:r w:rsidRPr="00972795">
        <w:t xml:space="preserve">, mogą być zaliczone na poczet obowiązku, o którym mowa w art. 10 ust. 1 </w:t>
      </w:r>
      <w:r w:rsidRPr="008E6F92">
        <w:t xml:space="preserve">pkt 1 </w:t>
      </w:r>
      <w:r w:rsidRPr="00972795">
        <w:t>ustawy.</w:t>
      </w:r>
    </w:p>
    <w:p w:rsidR="0087438E" w:rsidRDefault="0087438E" w:rsidP="00E63F90">
      <w:pPr>
        <w:pStyle w:val="Akapitzlist"/>
        <w:spacing w:line="360" w:lineRule="auto"/>
        <w:jc w:val="both"/>
        <w:rPr>
          <w:b/>
        </w:rPr>
      </w:pPr>
      <w:r>
        <w:rPr>
          <w:b/>
        </w:rPr>
        <w:t xml:space="preserve">2.  Do zaliczenia na poczet wykonania obowiązku, o którym w art. 10 ust. 1 pkt 1, do przedsięwzięć, o których mowa w ust. 1, przepis art. 16 ust. 4 stosuje się odpowiednio.   </w:t>
      </w:r>
    </w:p>
    <w:p w:rsidR="0087438E" w:rsidRPr="00EA7830" w:rsidRDefault="0087438E" w:rsidP="00E63F90">
      <w:pPr>
        <w:pStyle w:val="Akapitzlist"/>
        <w:spacing w:line="360" w:lineRule="auto"/>
        <w:jc w:val="both"/>
        <w:rPr>
          <w:b/>
        </w:rPr>
      </w:pPr>
      <w:r>
        <w:rPr>
          <w:b/>
        </w:rPr>
        <w:t>3</w:t>
      </w:r>
      <w:r w:rsidRPr="008E6F92">
        <w:rPr>
          <w:b/>
        </w:rPr>
        <w:t xml:space="preserve">. </w:t>
      </w:r>
      <w:r>
        <w:rPr>
          <w:b/>
        </w:rPr>
        <w:t xml:space="preserve">Dla przedsięwzięcia </w:t>
      </w:r>
      <w:r w:rsidRPr="00063434">
        <w:rPr>
          <w:b/>
        </w:rPr>
        <w:t>lub przedsięwzię</w:t>
      </w:r>
      <w:r>
        <w:rPr>
          <w:b/>
        </w:rPr>
        <w:t>ć</w:t>
      </w:r>
      <w:r w:rsidRPr="00063434">
        <w:rPr>
          <w:b/>
        </w:rPr>
        <w:t xml:space="preserve"> służąc</w:t>
      </w:r>
      <w:r>
        <w:rPr>
          <w:b/>
        </w:rPr>
        <w:t>ych</w:t>
      </w:r>
      <w:r w:rsidRPr="00063434">
        <w:rPr>
          <w:b/>
        </w:rPr>
        <w:t xml:space="preserve"> poprawie efektywności energetycznej zakończon</w:t>
      </w:r>
      <w:r>
        <w:rPr>
          <w:b/>
        </w:rPr>
        <w:t>ych</w:t>
      </w:r>
      <w:r w:rsidRPr="00063434">
        <w:rPr>
          <w:b/>
        </w:rPr>
        <w:t xml:space="preserve"> przed dniem wejścia w życie ustawy ale nie wcześniej niż przed dniem 1 stycznia 2014 r., dla których nie wydano świadectw efektywności energetycznej w rozumieniu ustawy z dnia 15 kwietnia 2011 r. o efektywności energetycznej</w:t>
      </w:r>
      <w:r>
        <w:rPr>
          <w:b/>
        </w:rPr>
        <w:t xml:space="preserve">, Prezes URE wydaje świadectwa efektywności energetycznej, na wniosek podmiotu u którego zostało zrealizowane to przedsięwzięcie lub przedsięwzięcia albo upoważnionego przez ten podmiot. </w:t>
      </w:r>
      <w:r w:rsidRPr="00EA7830">
        <w:rPr>
          <w:b/>
        </w:rPr>
        <w:t xml:space="preserve">Do wniosku o wydanie świadectwa efektywności energetycznej należy dołączyć audyt efektywności energetycznej, o którym mowa w art. 25 ust. 1 pkt 5 lit. c. </w:t>
      </w:r>
    </w:p>
    <w:p w:rsidR="0087438E" w:rsidRDefault="0087438E" w:rsidP="00E63F90">
      <w:pPr>
        <w:pStyle w:val="Akapitzlist"/>
        <w:spacing w:line="360" w:lineRule="auto"/>
        <w:jc w:val="both"/>
        <w:rPr>
          <w:b/>
        </w:rPr>
      </w:pPr>
      <w:r>
        <w:rPr>
          <w:b/>
        </w:rPr>
        <w:t xml:space="preserve">4. Do wydania świadectwa, o którym mowa w ust. 3, przepisy rozdziału 4 stosuje się odpowiednio. </w:t>
      </w:r>
    </w:p>
    <w:p w:rsidR="00E4433A" w:rsidRDefault="00E4433A" w:rsidP="00CD2856">
      <w:pPr>
        <w:spacing w:line="360" w:lineRule="auto"/>
        <w:contextualSpacing/>
        <w:jc w:val="both"/>
        <w:rPr>
          <w:b/>
        </w:rPr>
      </w:pPr>
    </w:p>
    <w:p w:rsidR="0044685D" w:rsidRPr="00853DCE" w:rsidRDefault="0044685D" w:rsidP="0044685D">
      <w:pPr>
        <w:spacing w:line="360" w:lineRule="auto"/>
        <w:contextualSpacing/>
        <w:jc w:val="both"/>
        <w:rPr>
          <w:b/>
        </w:rPr>
      </w:pPr>
      <w:r>
        <w:rPr>
          <w:b/>
        </w:rPr>
        <w:t>3</w:t>
      </w:r>
      <w:r w:rsidRPr="00853DCE">
        <w:rPr>
          <w:b/>
        </w:rPr>
        <w:t>. Uzasadnienie proponowanych zmian</w:t>
      </w:r>
      <w:r>
        <w:rPr>
          <w:b/>
        </w:rPr>
        <w:t xml:space="preserve"> legislacyjnych</w:t>
      </w:r>
    </w:p>
    <w:p w:rsidR="0044685D" w:rsidRPr="00853DCE" w:rsidRDefault="0044685D" w:rsidP="0044685D">
      <w:pPr>
        <w:spacing w:line="360" w:lineRule="auto"/>
        <w:contextualSpacing/>
        <w:jc w:val="both"/>
        <w:rPr>
          <w:b/>
        </w:rPr>
      </w:pPr>
    </w:p>
    <w:p w:rsidR="0044685D" w:rsidRPr="00853DCE" w:rsidRDefault="0044685D" w:rsidP="0044685D">
      <w:pPr>
        <w:spacing w:line="360" w:lineRule="auto"/>
        <w:contextualSpacing/>
        <w:jc w:val="both"/>
        <w:rPr>
          <w:color w:val="000000" w:themeColor="text1"/>
        </w:rPr>
      </w:pPr>
      <w:r>
        <w:rPr>
          <w:color w:val="000000" w:themeColor="text1"/>
        </w:rPr>
        <w:t>Polska do tej pory nie implementowała w pełni do krajowego prawodawstwa Dyrektywy Efektywnościowej, mimo że termin na jej implementację upłynął 5 czerwca 2014 r.</w:t>
      </w:r>
      <w:r w:rsidRPr="00853DCE">
        <w:rPr>
          <w:color w:val="000000" w:themeColor="text1"/>
        </w:rPr>
        <w:t xml:space="preserve"> Komisja Europejska wydając tzw. uzasadnioną opinię wezwała Polskę do pełnego wdrożenia przepisów tej dyrektywy, pod groźbą nałożenia istotnych kar finansowych. Projekt ustawy</w:t>
      </w:r>
      <w:r>
        <w:rPr>
          <w:color w:val="000000" w:themeColor="text1"/>
        </w:rPr>
        <w:t xml:space="preserve"> </w:t>
      </w:r>
      <w:r>
        <w:rPr>
          <w:color w:val="000000" w:themeColor="text1"/>
        </w:rPr>
        <w:lastRenderedPageBreak/>
        <w:t>implementującej dyrektywę</w:t>
      </w:r>
      <w:r w:rsidRPr="00853DCE">
        <w:rPr>
          <w:color w:val="000000" w:themeColor="text1"/>
        </w:rPr>
        <w:t xml:space="preserve"> w obecnym kształcie zawiera szereg rozwiązań niekorzystnych dla polskiego przemysłu, stawiając go od samego początku na dużo słabszej pozycji konkurencyjnej w porównaniu do innych Państw Członkowskich które, w zakresie w jakim jest to dopuszczalne na gruncie Dyrektywy, przyjęły rozwiązania znacznie bardziej liberalne dla rodzimych przemysłów.</w:t>
      </w:r>
    </w:p>
    <w:p w:rsidR="0044685D" w:rsidRPr="00853DCE" w:rsidRDefault="0044685D" w:rsidP="0044685D">
      <w:pPr>
        <w:spacing w:line="360" w:lineRule="auto"/>
        <w:contextualSpacing/>
        <w:jc w:val="both"/>
        <w:rPr>
          <w:b/>
        </w:rPr>
      </w:pPr>
    </w:p>
    <w:p w:rsidR="0044685D" w:rsidRPr="00853DCE" w:rsidRDefault="0044685D" w:rsidP="0044685D">
      <w:pPr>
        <w:pStyle w:val="Tekstpodstawowy"/>
        <w:spacing w:after="0" w:line="360" w:lineRule="auto"/>
        <w:contextualSpacing/>
        <w:jc w:val="both"/>
        <w:rPr>
          <w:rFonts w:ascii="Times New Roman" w:hAnsi="Times New Roman"/>
          <w:sz w:val="24"/>
          <w:szCs w:val="24"/>
        </w:rPr>
      </w:pPr>
      <w:r>
        <w:rPr>
          <w:rFonts w:ascii="Times New Roman" w:hAnsi="Times New Roman"/>
          <w:sz w:val="24"/>
          <w:szCs w:val="24"/>
        </w:rPr>
        <w:t>Jednym z najważniejszych postulatów branży metalurgicznej w tym zakresie jest o</w:t>
      </w:r>
      <w:r w:rsidRPr="00853DCE">
        <w:rPr>
          <w:rFonts w:ascii="Times New Roman" w:hAnsi="Times New Roman"/>
          <w:sz w:val="24"/>
          <w:szCs w:val="24"/>
        </w:rPr>
        <w:t>bniżenie progu</w:t>
      </w:r>
      <w:r>
        <w:rPr>
          <w:rFonts w:ascii="Times New Roman" w:hAnsi="Times New Roman"/>
          <w:sz w:val="24"/>
          <w:szCs w:val="24"/>
        </w:rPr>
        <w:t xml:space="preserve"> energochłonności umożliwiającego zaliczenie zrealizowanych przez przedsiębiorców przedsięwzięć mających na celu poprawę efektywności energetycznej na poczet realizacji obowiązku w zakresie białych certyfikatów do poziomu 3%.</w:t>
      </w:r>
      <w:r w:rsidRPr="00853DCE">
        <w:rPr>
          <w:rFonts w:ascii="Times New Roman" w:hAnsi="Times New Roman"/>
          <w:sz w:val="24"/>
          <w:szCs w:val="24"/>
        </w:rPr>
        <w:t xml:space="preserve"> </w:t>
      </w:r>
      <w:r>
        <w:rPr>
          <w:rFonts w:ascii="Times New Roman" w:hAnsi="Times New Roman"/>
          <w:sz w:val="24"/>
          <w:szCs w:val="24"/>
        </w:rPr>
        <w:t>Jest to</w:t>
      </w:r>
      <w:r w:rsidRPr="00853DCE">
        <w:rPr>
          <w:rFonts w:ascii="Times New Roman" w:hAnsi="Times New Roman"/>
          <w:sz w:val="24"/>
          <w:szCs w:val="24"/>
        </w:rPr>
        <w:t xml:space="preserve"> zgodny z prawem unijnym próg pozwalający na wyróżnienie przedsiębiorstw energochłonnych</w:t>
      </w:r>
      <w:r>
        <w:rPr>
          <w:rFonts w:ascii="Times New Roman" w:hAnsi="Times New Roman"/>
          <w:sz w:val="24"/>
          <w:szCs w:val="24"/>
        </w:rPr>
        <w:t>, który został przez polskiego ustawodawcę za odpowiedni również w</w:t>
      </w:r>
      <w:r w:rsidRPr="00853DCE">
        <w:rPr>
          <w:rFonts w:ascii="Times New Roman" w:hAnsi="Times New Roman"/>
          <w:sz w:val="24"/>
          <w:szCs w:val="24"/>
        </w:rPr>
        <w:t xml:space="preserve"> i</w:t>
      </w:r>
      <w:r>
        <w:rPr>
          <w:rFonts w:ascii="Times New Roman" w:hAnsi="Times New Roman"/>
          <w:sz w:val="24"/>
          <w:szCs w:val="24"/>
        </w:rPr>
        <w:t>nnych aktach prawnych (np. ustawie</w:t>
      </w:r>
      <w:r w:rsidRPr="00853DCE">
        <w:rPr>
          <w:rFonts w:ascii="Times New Roman" w:hAnsi="Times New Roman"/>
          <w:sz w:val="24"/>
          <w:szCs w:val="24"/>
        </w:rPr>
        <w:t xml:space="preserve"> o odnawialnych źródłach energii</w:t>
      </w:r>
      <w:r w:rsidRPr="00853DCE">
        <w:rPr>
          <w:rStyle w:val="Odwoanieprzypisudolnego"/>
          <w:rFonts w:ascii="Times New Roman" w:hAnsi="Times New Roman"/>
          <w:sz w:val="24"/>
          <w:szCs w:val="24"/>
        </w:rPr>
        <w:footnoteReference w:id="1"/>
      </w:r>
      <w:r w:rsidRPr="00853DCE">
        <w:rPr>
          <w:rFonts w:ascii="Times New Roman" w:hAnsi="Times New Roman"/>
          <w:sz w:val="24"/>
          <w:szCs w:val="24"/>
        </w:rPr>
        <w:t xml:space="preserve"> czy </w:t>
      </w:r>
      <w:r>
        <w:rPr>
          <w:rFonts w:ascii="Times New Roman" w:hAnsi="Times New Roman"/>
          <w:sz w:val="24"/>
          <w:szCs w:val="24"/>
        </w:rPr>
        <w:t>ustawie</w:t>
      </w:r>
      <w:r w:rsidRPr="00853DCE">
        <w:rPr>
          <w:rFonts w:ascii="Times New Roman" w:hAnsi="Times New Roman"/>
          <w:sz w:val="24"/>
          <w:szCs w:val="24"/>
        </w:rPr>
        <w:t xml:space="preserve"> o podatku akcyzowym</w:t>
      </w:r>
      <w:r w:rsidRPr="00853DCE">
        <w:rPr>
          <w:rStyle w:val="Odwoanieprzypisudolnego"/>
          <w:rFonts w:ascii="Times New Roman" w:hAnsi="Times New Roman"/>
          <w:sz w:val="24"/>
          <w:szCs w:val="24"/>
        </w:rPr>
        <w:footnoteReference w:id="2"/>
      </w:r>
      <w:r w:rsidRPr="00853DCE">
        <w:rPr>
          <w:rFonts w:ascii="Times New Roman" w:hAnsi="Times New Roman"/>
          <w:sz w:val="24"/>
          <w:szCs w:val="24"/>
        </w:rPr>
        <w:t>)</w:t>
      </w:r>
      <w:r>
        <w:rPr>
          <w:rFonts w:ascii="Times New Roman" w:hAnsi="Times New Roman"/>
          <w:sz w:val="24"/>
          <w:szCs w:val="24"/>
        </w:rPr>
        <w:t>. Obniżenie przedmiotowego progu</w:t>
      </w:r>
      <w:r w:rsidRPr="00853DCE">
        <w:rPr>
          <w:rFonts w:ascii="Times New Roman" w:hAnsi="Times New Roman"/>
          <w:sz w:val="24"/>
          <w:szCs w:val="24"/>
        </w:rPr>
        <w:t xml:space="preserve"> stanowić będzie bodziec dla energochłonnych przedsiębiorstw do zwiększenia inwestycji w przedsięwzięcia proefektywnościowe, a tym samym przyczyni się do osiągnięcia przez Polskę celów w zakresie poprawy efektywności energetycznej.</w:t>
      </w:r>
    </w:p>
    <w:p w:rsidR="0044685D" w:rsidRPr="00853DCE" w:rsidRDefault="0044685D" w:rsidP="0044685D">
      <w:pPr>
        <w:spacing w:line="360" w:lineRule="auto"/>
        <w:contextualSpacing/>
        <w:jc w:val="both"/>
        <w:rPr>
          <w:b/>
        </w:rPr>
      </w:pPr>
    </w:p>
    <w:p w:rsidR="0044685D" w:rsidRDefault="0044685D" w:rsidP="0044685D">
      <w:pPr>
        <w:spacing w:line="360" w:lineRule="auto"/>
        <w:contextualSpacing/>
        <w:jc w:val="both"/>
      </w:pPr>
      <w:r>
        <w:t xml:space="preserve">Ponadto, </w:t>
      </w:r>
      <w:r w:rsidRPr="00853DCE">
        <w:t>zgodnie z dotychczasowym brzmieniem ustawy o efektywności energetycznej z 2011 r., na potrzeby związane z ograniczeniem obowiązku nabywania świadectw efektywności energetycznej bądź uiszczenia opłaty zastępczej były brane pod uwagę wyłącznie inwestycje zwiększające efektywność zużycia energii elektrycznej. Podobne uregulowanie znalazło się także w aktualnej wersji Projektu. W ocenie branży metalurgicznej, takie ograniczenie nie znajduje racjonalnego uzasadnienia, dlatego postuluje ona rozszerzenie zakresu kwalifikowalnych przedsięwzięć do ograniczających zuży</w:t>
      </w:r>
      <w:r>
        <w:t>cie również innych form energii, tj. gazu ziemnego i ciepła.</w:t>
      </w:r>
    </w:p>
    <w:p w:rsidR="0044685D" w:rsidRDefault="0044685D" w:rsidP="0044685D">
      <w:pPr>
        <w:spacing w:line="360" w:lineRule="auto"/>
        <w:contextualSpacing/>
        <w:jc w:val="both"/>
      </w:pPr>
      <w:r>
        <w:br/>
        <w:t xml:space="preserve">Należy zauważyć, że </w:t>
      </w:r>
      <w:r w:rsidRPr="00853DCE">
        <w:t>Dyrektywa</w:t>
      </w:r>
      <w:r>
        <w:t xml:space="preserve"> Efektywnościowa</w:t>
      </w:r>
      <w:r w:rsidRPr="00853DCE">
        <w:t xml:space="preserve"> daje państwom członkowskim możliwość uwzględnienia m.in. w ramach mechanizm</w:t>
      </w:r>
      <w:r>
        <w:t>ów, takich jak zawarty w art. 15</w:t>
      </w:r>
      <w:r w:rsidRPr="00853DCE">
        <w:t xml:space="preserve"> Projektu, przedsięwzięć zrealizowanych po dniu 31 grudnia 2008 r. Wydłużenie okresu kwalifikowalności zrealizowanych przez odbiorców końcowych przedsięwzięć proefektywnościowych w celu skorzystania z powyższej procedury odzwierciedlałoby </w:t>
      </w:r>
      <w:r w:rsidRPr="00853DCE">
        <w:lastRenderedPageBreak/>
        <w:t>poniesione przez nich koszty związane z działaniami proefektywnościowymi i gwarantowałoby, że polscy przedsiębiorcy nie znajdą się pod tym względem w gorszej sytuacji niż przedsiębiorcy z innych państw członkowskich Unii Europejskiej.</w:t>
      </w:r>
    </w:p>
    <w:p w:rsidR="0044685D" w:rsidRDefault="0044685D" w:rsidP="0044685D">
      <w:pPr>
        <w:spacing w:line="360" w:lineRule="auto"/>
        <w:contextualSpacing/>
        <w:jc w:val="both"/>
      </w:pPr>
    </w:p>
    <w:p w:rsidR="0044685D" w:rsidRPr="00853DCE" w:rsidRDefault="0044685D" w:rsidP="0044685D">
      <w:pPr>
        <w:spacing w:line="360" w:lineRule="auto"/>
        <w:contextualSpacing/>
        <w:jc w:val="both"/>
      </w:pPr>
      <w:r>
        <w:t>W ocenie branży metalurgicznej niezbędna jest również liberalizacja przepisów dotyczących obowiązkowych audytów energetycznych przedsiębiorstwa m.in. poprzez ograniczenie wolumenu energii, który musi być poddany audytowi, oraz wyłączenie spod tego obowiązku przedsiębiorców posiadających system zarządzania energią oparty o normę ISO 50001.</w:t>
      </w:r>
    </w:p>
    <w:p w:rsidR="0044685D" w:rsidRPr="00853DCE" w:rsidRDefault="0044685D" w:rsidP="00CD2856">
      <w:pPr>
        <w:spacing w:line="360" w:lineRule="auto"/>
        <w:contextualSpacing/>
        <w:jc w:val="both"/>
        <w:rPr>
          <w:b/>
        </w:rPr>
      </w:pPr>
    </w:p>
    <w:sectPr w:rsidR="0044685D" w:rsidRPr="00853D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22" w:rsidRDefault="006A0922" w:rsidP="007B2BFC">
      <w:pPr>
        <w:spacing w:before="0"/>
      </w:pPr>
      <w:r>
        <w:separator/>
      </w:r>
    </w:p>
  </w:endnote>
  <w:endnote w:type="continuationSeparator" w:id="0">
    <w:p w:rsidR="006A0922" w:rsidRDefault="006A0922" w:rsidP="007B2B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EY Gothic Cond Medium">
    <w:altName w:val="Franklin Gothic Medium Cond"/>
    <w:charset w:val="00"/>
    <w:family w:val="auto"/>
    <w:pitch w:val="variable"/>
    <w:sig w:usb0="00000001" w:usb1="0000004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60405020304"/>
    <w:charset w:val="EE"/>
    <w:family w:val="roman"/>
    <w:pitch w:val="variable"/>
    <w:sig w:usb0="00000007" w:usb1="00000000" w:usb2="00000000" w:usb3="00000000" w:csb0="0000009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22" w:rsidRDefault="006A0922" w:rsidP="007B2BFC">
      <w:pPr>
        <w:spacing w:before="0"/>
      </w:pPr>
      <w:r>
        <w:separator/>
      </w:r>
    </w:p>
  </w:footnote>
  <w:footnote w:type="continuationSeparator" w:id="0">
    <w:p w:rsidR="006A0922" w:rsidRDefault="006A0922" w:rsidP="007B2BFC">
      <w:pPr>
        <w:spacing w:before="0"/>
      </w:pPr>
      <w:r>
        <w:continuationSeparator/>
      </w:r>
    </w:p>
  </w:footnote>
  <w:footnote w:id="1">
    <w:p w:rsidR="0044685D" w:rsidRDefault="0044685D" w:rsidP="0044685D">
      <w:pPr>
        <w:pStyle w:val="Tekstprzypisudolnego"/>
        <w:jc w:val="both"/>
      </w:pPr>
      <w:r w:rsidRPr="00693721">
        <w:rPr>
          <w:rStyle w:val="Odwoanieprzypisudolnego"/>
          <w:rFonts w:ascii="Times New Roman" w:hAnsi="Times New Roman"/>
        </w:rPr>
        <w:footnoteRef/>
      </w:r>
      <w:r w:rsidRPr="00693721">
        <w:rPr>
          <w:rFonts w:ascii="Times New Roman" w:hAnsi="Times New Roman"/>
        </w:rPr>
        <w:t xml:space="preserve"> </w:t>
      </w:r>
      <w:r w:rsidRPr="00693721">
        <w:rPr>
          <w:rFonts w:ascii="Times New Roman" w:hAnsi="Times New Roman"/>
          <w:bCs/>
        </w:rPr>
        <w:t xml:space="preserve">Ustawa </w:t>
      </w:r>
      <w:r w:rsidRPr="00693721">
        <w:rPr>
          <w:rFonts w:ascii="Times New Roman" w:hAnsi="Times New Roman"/>
        </w:rPr>
        <w:t xml:space="preserve">z dnia 20 lutego 2015 r. </w:t>
      </w:r>
      <w:r w:rsidRPr="00693721">
        <w:rPr>
          <w:rFonts w:ascii="Times New Roman" w:hAnsi="Times New Roman"/>
          <w:bCs/>
        </w:rPr>
        <w:t>o odnawialnych źródłach energii (</w:t>
      </w:r>
      <w:r w:rsidRPr="00693721">
        <w:rPr>
          <w:rFonts w:ascii="Times New Roman" w:hAnsi="Times New Roman"/>
        </w:rPr>
        <w:t>Dz.U.2015.478</w:t>
      </w:r>
      <w:r w:rsidRPr="00693721">
        <w:rPr>
          <w:rFonts w:ascii="Times New Roman" w:hAnsi="Times New Roman"/>
          <w:bCs/>
        </w:rPr>
        <w:t>).</w:t>
      </w:r>
    </w:p>
  </w:footnote>
  <w:footnote w:id="2">
    <w:p w:rsidR="0044685D" w:rsidRPr="00693721" w:rsidRDefault="0044685D" w:rsidP="0044685D">
      <w:pPr>
        <w:pStyle w:val="Tekstprzypisudolnego"/>
        <w:jc w:val="both"/>
        <w:rPr>
          <w:rFonts w:ascii="Times New Roman" w:hAnsi="Times New Roman"/>
        </w:rPr>
      </w:pPr>
      <w:r w:rsidRPr="00693721">
        <w:rPr>
          <w:rStyle w:val="Odwoanieprzypisudolnego"/>
          <w:rFonts w:ascii="Times New Roman" w:hAnsi="Times New Roman"/>
        </w:rPr>
        <w:footnoteRef/>
      </w:r>
      <w:r w:rsidRPr="00693721">
        <w:rPr>
          <w:rFonts w:ascii="Times New Roman" w:hAnsi="Times New Roman"/>
        </w:rPr>
        <w:t xml:space="preserve"> </w:t>
      </w:r>
      <w:r w:rsidRPr="00693721">
        <w:rPr>
          <w:rFonts w:ascii="Times New Roman" w:hAnsi="Times New Roman"/>
          <w:bCs/>
        </w:rPr>
        <w:t xml:space="preserve">Ustawa </w:t>
      </w:r>
      <w:r w:rsidRPr="00693721">
        <w:rPr>
          <w:rFonts w:ascii="Times New Roman" w:hAnsi="Times New Roman"/>
        </w:rPr>
        <w:t xml:space="preserve">z dnia 6 grudnia 2008 r. </w:t>
      </w:r>
      <w:r w:rsidRPr="00693721">
        <w:rPr>
          <w:rFonts w:ascii="Times New Roman" w:hAnsi="Times New Roman"/>
          <w:bCs/>
        </w:rPr>
        <w:t>o podatku akcyzowym (</w:t>
      </w:r>
      <w:r w:rsidRPr="00693721">
        <w:rPr>
          <w:rFonts w:ascii="Times New Roman" w:hAnsi="Times New Roman"/>
        </w:rPr>
        <w:t>Dz.U.2014.752</w:t>
      </w:r>
      <w:r w:rsidRPr="00693721">
        <w:rPr>
          <w:rFonts w:ascii="Times New Roman" w:hAnsi="Times New Roman"/>
          <w:bCs/>
        </w:rPr>
        <w:t>).</w:t>
      </w:r>
    </w:p>
    <w:p w:rsidR="0044685D" w:rsidRDefault="0044685D" w:rsidP="0044685D">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9037C8"/>
    <w:lvl w:ilvl="0">
      <w:start w:val="1"/>
      <w:numFmt w:val="decimal"/>
      <w:lvlText w:val="%1."/>
      <w:lvlJc w:val="left"/>
      <w:pPr>
        <w:tabs>
          <w:tab w:val="num" w:pos="1492"/>
        </w:tabs>
        <w:ind w:left="1492" w:hanging="360"/>
      </w:pPr>
    </w:lvl>
  </w:abstractNum>
  <w:abstractNum w:abstractNumId="1">
    <w:nsid w:val="FFFFFF7D"/>
    <w:multiLevelType w:val="singleLevel"/>
    <w:tmpl w:val="6D7EF908"/>
    <w:lvl w:ilvl="0">
      <w:start w:val="1"/>
      <w:numFmt w:val="decimal"/>
      <w:lvlText w:val="%1."/>
      <w:lvlJc w:val="left"/>
      <w:pPr>
        <w:tabs>
          <w:tab w:val="num" w:pos="1209"/>
        </w:tabs>
        <w:ind w:left="1209" w:hanging="360"/>
      </w:pPr>
    </w:lvl>
  </w:abstractNum>
  <w:abstractNum w:abstractNumId="2">
    <w:nsid w:val="FFFFFF7E"/>
    <w:multiLevelType w:val="singleLevel"/>
    <w:tmpl w:val="598845FC"/>
    <w:lvl w:ilvl="0">
      <w:start w:val="1"/>
      <w:numFmt w:val="decimal"/>
      <w:lvlText w:val="%1."/>
      <w:lvlJc w:val="left"/>
      <w:pPr>
        <w:tabs>
          <w:tab w:val="num" w:pos="926"/>
        </w:tabs>
        <w:ind w:left="926" w:hanging="360"/>
      </w:pPr>
    </w:lvl>
  </w:abstractNum>
  <w:abstractNum w:abstractNumId="3">
    <w:nsid w:val="FFFFFF7F"/>
    <w:multiLevelType w:val="singleLevel"/>
    <w:tmpl w:val="3B9E9A5E"/>
    <w:lvl w:ilvl="0">
      <w:start w:val="1"/>
      <w:numFmt w:val="decimal"/>
      <w:lvlText w:val="%1."/>
      <w:lvlJc w:val="left"/>
      <w:pPr>
        <w:tabs>
          <w:tab w:val="num" w:pos="643"/>
        </w:tabs>
        <w:ind w:left="643" w:hanging="360"/>
      </w:pPr>
    </w:lvl>
  </w:abstractNum>
  <w:abstractNum w:abstractNumId="4">
    <w:nsid w:val="FFFFFF80"/>
    <w:multiLevelType w:val="singleLevel"/>
    <w:tmpl w:val="F814B4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F859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683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A83F26"/>
    <w:lvl w:ilvl="0">
      <w:start w:val="1"/>
      <w:numFmt w:val="bullet"/>
      <w:pStyle w:val="Listapunktowana2"/>
      <w:lvlText w:val="-"/>
      <w:lvlJc w:val="left"/>
      <w:pPr>
        <w:tabs>
          <w:tab w:val="num" w:pos="1420"/>
        </w:tabs>
        <w:ind w:left="1420" w:hanging="360"/>
      </w:pPr>
      <w:rPr>
        <w:rFonts w:ascii="Times New Roman" w:hAnsi="Times New Roman" w:cs="Times New Roman" w:hint="default"/>
        <w:b w:val="0"/>
        <w:i w:val="0"/>
        <w:sz w:val="24"/>
      </w:rPr>
    </w:lvl>
  </w:abstractNum>
  <w:abstractNum w:abstractNumId="8">
    <w:nsid w:val="FFFFFF88"/>
    <w:multiLevelType w:val="singleLevel"/>
    <w:tmpl w:val="A4780964"/>
    <w:lvl w:ilvl="0">
      <w:start w:val="1"/>
      <w:numFmt w:val="decimal"/>
      <w:lvlText w:val="%1."/>
      <w:lvlJc w:val="left"/>
      <w:pPr>
        <w:tabs>
          <w:tab w:val="num" w:pos="360"/>
        </w:tabs>
        <w:ind w:left="360" w:hanging="360"/>
      </w:pPr>
    </w:lvl>
  </w:abstractNum>
  <w:abstractNum w:abstractNumId="9">
    <w:nsid w:val="FFFFFF89"/>
    <w:multiLevelType w:val="singleLevel"/>
    <w:tmpl w:val="CCAA148A"/>
    <w:lvl w:ilvl="0">
      <w:start w:val="1"/>
      <w:numFmt w:val="bullet"/>
      <w:pStyle w:val="Listapunktowana"/>
      <w:lvlText w:val=""/>
      <w:lvlJc w:val="left"/>
      <w:pPr>
        <w:tabs>
          <w:tab w:val="num" w:pos="1069"/>
        </w:tabs>
        <w:ind w:left="1069" w:hanging="360"/>
      </w:pPr>
      <w:rPr>
        <w:rFonts w:ascii="Wingdings" w:hAnsi="Wingdings" w:hint="default"/>
        <w:b w:val="0"/>
        <w:i/>
        <w:sz w:val="20"/>
      </w:rPr>
    </w:lvl>
  </w:abstractNum>
  <w:abstractNum w:abstractNumId="10">
    <w:nsid w:val="0749214B"/>
    <w:multiLevelType w:val="multilevel"/>
    <w:tmpl w:val="F35A55EE"/>
    <w:lvl w:ilvl="0">
      <w:start w:val="1"/>
      <w:numFmt w:val="none"/>
      <w:lvlText w:val=""/>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3"/>
      <w:lvlJc w:val="left"/>
      <w:pPr>
        <w:tabs>
          <w:tab w:val="num" w:pos="720"/>
        </w:tabs>
        <w:ind w:left="720" w:hanging="432"/>
      </w:pPr>
      <w:rPr>
        <w:rFonts w:hint="default"/>
      </w:rPr>
    </w:lvl>
    <w:lvl w:ilvl="3">
      <w:start w:val="1"/>
      <w:numFmt w:val="decimal"/>
      <w:lvlText w:val="%2.%3.%4"/>
      <w:lvlJc w:val="left"/>
      <w:pPr>
        <w:tabs>
          <w:tab w:val="num" w:pos="1429"/>
        </w:tabs>
        <w:ind w:left="709" w:firstLine="0"/>
      </w:pPr>
      <w:rPr>
        <w:rFonts w:hint="default"/>
      </w:rPr>
    </w:lvl>
    <w:lvl w:ilvl="4">
      <w:start w:val="1"/>
      <w:numFmt w:val="lowerLetter"/>
      <w:lvlText w:val="%5)"/>
      <w:lvlJc w:val="left"/>
      <w:pPr>
        <w:tabs>
          <w:tab w:val="num" w:pos="1069"/>
        </w:tabs>
        <w:ind w:left="0" w:firstLine="709"/>
      </w:pPr>
      <w:rPr>
        <w:rFonts w:hint="default"/>
      </w:rPr>
    </w:lvl>
    <w:lvl w:ilvl="5">
      <w:start w:val="1"/>
      <w:numFmt w:val="lowerRoman"/>
      <w:lvlText w:val="%6."/>
      <w:lvlJc w:val="left"/>
      <w:pPr>
        <w:tabs>
          <w:tab w:val="num" w:pos="1717"/>
        </w:tabs>
        <w:ind w:left="1717" w:hanging="709"/>
      </w:pPr>
      <w:rPr>
        <w:rFonts w:hint="default"/>
      </w:rPr>
    </w:lvl>
    <w:lvl w:ilvl="6">
      <w:start w:val="1"/>
      <w:numFmt w:val="lowerRoman"/>
      <w:lvlText w:val="%7."/>
      <w:lvlJc w:val="left"/>
      <w:pPr>
        <w:tabs>
          <w:tab w:val="num" w:pos="1717"/>
        </w:tabs>
        <w:ind w:left="1717" w:hanging="709"/>
      </w:pPr>
      <w:rPr>
        <w:rFonts w:hint="default"/>
      </w:rPr>
    </w:lvl>
    <w:lvl w:ilvl="7">
      <w:start w:val="1"/>
      <w:numFmt w:val="lowerRoman"/>
      <w:lvlText w:val="%8."/>
      <w:lvlJc w:val="left"/>
      <w:pPr>
        <w:tabs>
          <w:tab w:val="num" w:pos="1717"/>
        </w:tabs>
        <w:ind w:left="1717" w:hanging="709"/>
      </w:pPr>
      <w:rPr>
        <w:rFonts w:hint="default"/>
      </w:rPr>
    </w:lvl>
    <w:lvl w:ilvl="8">
      <w:start w:val="1"/>
      <w:numFmt w:val="lowerRoman"/>
      <w:lvlText w:val="%9."/>
      <w:lvlJc w:val="left"/>
      <w:pPr>
        <w:tabs>
          <w:tab w:val="num" w:pos="1717"/>
        </w:tabs>
        <w:ind w:left="1717" w:hanging="709"/>
      </w:pPr>
      <w:rPr>
        <w:rFonts w:hint="default"/>
      </w:rPr>
    </w:lvl>
  </w:abstractNum>
  <w:abstractNum w:abstractNumId="11">
    <w:nsid w:val="0C7351C6"/>
    <w:multiLevelType w:val="hybridMultilevel"/>
    <w:tmpl w:val="C9CAE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7F3C51"/>
    <w:multiLevelType w:val="multilevel"/>
    <w:tmpl w:val="A46C6792"/>
    <w:lvl w:ilvl="0">
      <w:start w:val="1"/>
      <w:numFmt w:val="upperRoman"/>
      <w:lvlText w:val="%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3"/>
      <w:lvlJc w:val="left"/>
      <w:pPr>
        <w:tabs>
          <w:tab w:val="num" w:pos="720"/>
        </w:tabs>
        <w:ind w:left="720" w:hanging="432"/>
      </w:pPr>
      <w:rPr>
        <w:rFonts w:hint="default"/>
      </w:rPr>
    </w:lvl>
    <w:lvl w:ilvl="3">
      <w:start w:val="1"/>
      <w:numFmt w:val="decimal"/>
      <w:lvlText w:val="%2.%3.%4"/>
      <w:lvlJc w:val="left"/>
      <w:pPr>
        <w:tabs>
          <w:tab w:val="num" w:pos="1429"/>
        </w:tabs>
        <w:ind w:left="709" w:firstLine="0"/>
      </w:pPr>
      <w:rPr>
        <w:rFonts w:hint="default"/>
      </w:rPr>
    </w:lvl>
    <w:lvl w:ilvl="4">
      <w:start w:val="1"/>
      <w:numFmt w:val="lowerLetter"/>
      <w:lvlText w:val="%5)"/>
      <w:lvlJc w:val="left"/>
      <w:pPr>
        <w:tabs>
          <w:tab w:val="num" w:pos="1069"/>
        </w:tabs>
        <w:ind w:left="0" w:firstLine="709"/>
      </w:pPr>
      <w:rPr>
        <w:rFonts w:hint="default"/>
      </w:rPr>
    </w:lvl>
    <w:lvl w:ilvl="5">
      <w:start w:val="1"/>
      <w:numFmt w:val="lowerRoman"/>
      <w:lvlText w:val="%6."/>
      <w:lvlJc w:val="left"/>
      <w:pPr>
        <w:tabs>
          <w:tab w:val="num" w:pos="1717"/>
        </w:tabs>
        <w:ind w:left="1717" w:hanging="709"/>
      </w:pPr>
      <w:rPr>
        <w:rFonts w:hint="default"/>
      </w:rPr>
    </w:lvl>
    <w:lvl w:ilvl="6">
      <w:start w:val="1"/>
      <w:numFmt w:val="lowerRoman"/>
      <w:lvlText w:val="%7."/>
      <w:lvlJc w:val="left"/>
      <w:pPr>
        <w:tabs>
          <w:tab w:val="num" w:pos="1717"/>
        </w:tabs>
        <w:ind w:left="1717" w:hanging="709"/>
      </w:pPr>
      <w:rPr>
        <w:rFonts w:hint="default"/>
      </w:rPr>
    </w:lvl>
    <w:lvl w:ilvl="7">
      <w:start w:val="1"/>
      <w:numFmt w:val="lowerRoman"/>
      <w:lvlText w:val="%8."/>
      <w:lvlJc w:val="left"/>
      <w:pPr>
        <w:tabs>
          <w:tab w:val="num" w:pos="1717"/>
        </w:tabs>
        <w:ind w:left="1717" w:hanging="709"/>
      </w:pPr>
      <w:rPr>
        <w:rFonts w:hint="default"/>
      </w:rPr>
    </w:lvl>
    <w:lvl w:ilvl="8">
      <w:start w:val="1"/>
      <w:numFmt w:val="lowerRoman"/>
      <w:lvlText w:val="%9."/>
      <w:lvlJc w:val="left"/>
      <w:pPr>
        <w:tabs>
          <w:tab w:val="num" w:pos="1717"/>
        </w:tabs>
        <w:ind w:left="1717" w:hanging="709"/>
      </w:pPr>
      <w:rPr>
        <w:rFonts w:hint="default"/>
      </w:rPr>
    </w:lvl>
  </w:abstractNum>
  <w:abstractNum w:abstractNumId="13">
    <w:nsid w:val="1ACF3DA3"/>
    <w:multiLevelType w:val="hybridMultilevel"/>
    <w:tmpl w:val="42BA2736"/>
    <w:lvl w:ilvl="0" w:tplc="04150011">
      <w:start w:val="1"/>
      <w:numFmt w:val="decimal"/>
      <w:lvlText w:val="%1)"/>
      <w:lvlJc w:val="left"/>
      <w:pPr>
        <w:ind w:left="720" w:hanging="360"/>
      </w:pPr>
      <w:rPr>
        <w:rFonts w:hint="default"/>
      </w:rPr>
    </w:lvl>
    <w:lvl w:ilvl="1" w:tplc="41941BE8">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8C199A"/>
    <w:multiLevelType w:val="multilevel"/>
    <w:tmpl w:val="13F4F18A"/>
    <w:lvl w:ilvl="0">
      <w:start w:val="1"/>
      <w:numFmt w:val="upperRoman"/>
      <w:lvlText w:val="%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3"/>
      <w:lvlJc w:val="left"/>
      <w:pPr>
        <w:tabs>
          <w:tab w:val="num" w:pos="720"/>
        </w:tabs>
        <w:ind w:left="720" w:hanging="432"/>
      </w:pPr>
      <w:rPr>
        <w:rFonts w:hint="default"/>
      </w:rPr>
    </w:lvl>
    <w:lvl w:ilvl="3">
      <w:start w:val="1"/>
      <w:numFmt w:val="decimal"/>
      <w:lvlText w:val="%2.%3.%4"/>
      <w:lvlJc w:val="left"/>
      <w:pPr>
        <w:tabs>
          <w:tab w:val="num" w:pos="1429"/>
        </w:tabs>
        <w:ind w:left="709" w:firstLine="0"/>
      </w:pPr>
      <w:rPr>
        <w:rFonts w:hint="default"/>
      </w:rPr>
    </w:lvl>
    <w:lvl w:ilvl="4">
      <w:start w:val="1"/>
      <w:numFmt w:val="lowerLetter"/>
      <w:lvlText w:val="%5)"/>
      <w:lvlJc w:val="left"/>
      <w:pPr>
        <w:tabs>
          <w:tab w:val="num" w:pos="1069"/>
        </w:tabs>
        <w:ind w:left="0" w:firstLine="709"/>
      </w:pPr>
      <w:rPr>
        <w:rFonts w:hint="default"/>
      </w:rPr>
    </w:lvl>
    <w:lvl w:ilvl="5">
      <w:start w:val="1"/>
      <w:numFmt w:val="lowerRoman"/>
      <w:lvlText w:val="%6."/>
      <w:lvlJc w:val="left"/>
      <w:pPr>
        <w:tabs>
          <w:tab w:val="num" w:pos="1717"/>
        </w:tabs>
        <w:ind w:left="1717" w:hanging="709"/>
      </w:pPr>
      <w:rPr>
        <w:rFonts w:hint="default"/>
      </w:rPr>
    </w:lvl>
    <w:lvl w:ilvl="6">
      <w:start w:val="1"/>
      <w:numFmt w:val="lowerRoman"/>
      <w:lvlText w:val="%7."/>
      <w:lvlJc w:val="left"/>
      <w:pPr>
        <w:tabs>
          <w:tab w:val="num" w:pos="1717"/>
        </w:tabs>
        <w:ind w:left="1717" w:hanging="709"/>
      </w:pPr>
      <w:rPr>
        <w:rFonts w:hint="default"/>
      </w:rPr>
    </w:lvl>
    <w:lvl w:ilvl="7">
      <w:start w:val="1"/>
      <w:numFmt w:val="lowerRoman"/>
      <w:lvlText w:val="%8."/>
      <w:lvlJc w:val="left"/>
      <w:pPr>
        <w:tabs>
          <w:tab w:val="num" w:pos="1717"/>
        </w:tabs>
        <w:ind w:left="1717" w:hanging="709"/>
      </w:pPr>
      <w:rPr>
        <w:rFonts w:hint="default"/>
      </w:rPr>
    </w:lvl>
    <w:lvl w:ilvl="8">
      <w:start w:val="1"/>
      <w:numFmt w:val="lowerRoman"/>
      <w:lvlText w:val="%9."/>
      <w:lvlJc w:val="left"/>
      <w:pPr>
        <w:tabs>
          <w:tab w:val="num" w:pos="1717"/>
        </w:tabs>
        <w:ind w:left="1717" w:hanging="709"/>
      </w:pPr>
      <w:rPr>
        <w:rFonts w:hint="default"/>
      </w:rPr>
    </w:lvl>
  </w:abstractNum>
  <w:abstractNum w:abstractNumId="15">
    <w:nsid w:val="29F73076"/>
    <w:multiLevelType w:val="hybridMultilevel"/>
    <w:tmpl w:val="01CC2C2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E259C6"/>
    <w:multiLevelType w:val="hybridMultilevel"/>
    <w:tmpl w:val="C14ADC9E"/>
    <w:lvl w:ilvl="0" w:tplc="5A4C958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48883A5E"/>
    <w:multiLevelType w:val="hybridMultilevel"/>
    <w:tmpl w:val="C52489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4C4F47FE"/>
    <w:multiLevelType w:val="hybridMultilevel"/>
    <w:tmpl w:val="6874B682"/>
    <w:lvl w:ilvl="0" w:tplc="04150011">
      <w:start w:val="1"/>
      <w:numFmt w:val="decimal"/>
      <w:lvlText w:val="%1)"/>
      <w:lvlJc w:val="left"/>
      <w:pPr>
        <w:ind w:left="720" w:hanging="360"/>
      </w:pPr>
      <w:rPr>
        <w:rFonts w:hint="default"/>
      </w:rPr>
    </w:lvl>
    <w:lvl w:ilvl="1" w:tplc="41941BE8">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772889"/>
    <w:multiLevelType w:val="hybridMultilevel"/>
    <w:tmpl w:val="FF7E4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3DE3BA8"/>
    <w:multiLevelType w:val="multilevel"/>
    <w:tmpl w:val="A2D2FA3A"/>
    <w:lvl w:ilvl="0">
      <w:start w:val="1"/>
      <w:numFmt w:val="upperRoman"/>
      <w:pStyle w:val="Nagwek1"/>
      <w:lvlText w:val="%1."/>
      <w:lvlJc w:val="left"/>
      <w:pPr>
        <w:tabs>
          <w:tab w:val="num" w:pos="-288"/>
        </w:tabs>
        <w:ind w:left="-1008" w:firstLine="0"/>
      </w:pPr>
      <w:rPr>
        <w:rFonts w:hint="default"/>
      </w:rPr>
    </w:lvl>
    <w:lvl w:ilvl="1">
      <w:start w:val="1"/>
      <w:numFmt w:val="decimal"/>
      <w:pStyle w:val="Nagwek2"/>
      <w:lvlText w:val="%2."/>
      <w:lvlJc w:val="left"/>
      <w:pPr>
        <w:tabs>
          <w:tab w:val="num" w:pos="-648"/>
        </w:tabs>
        <w:ind w:left="-1008" w:firstLine="0"/>
      </w:pPr>
      <w:rPr>
        <w:rFonts w:hint="default"/>
      </w:rPr>
    </w:lvl>
    <w:lvl w:ilvl="2">
      <w:start w:val="1"/>
      <w:numFmt w:val="decimal"/>
      <w:pStyle w:val="Nagwek3"/>
      <w:lvlText w:val="%2.%3."/>
      <w:lvlJc w:val="left"/>
      <w:pPr>
        <w:tabs>
          <w:tab w:val="num" w:pos="0"/>
        </w:tabs>
        <w:ind w:left="-288" w:hanging="432"/>
      </w:pPr>
      <w:rPr>
        <w:rFonts w:hint="default"/>
      </w:rPr>
    </w:lvl>
    <w:lvl w:ilvl="3">
      <w:start w:val="1"/>
      <w:numFmt w:val="decimal"/>
      <w:pStyle w:val="Nagwek4"/>
      <w:lvlText w:val="%2.%3.%4."/>
      <w:lvlJc w:val="left"/>
      <w:pPr>
        <w:tabs>
          <w:tab w:val="num" w:pos="781"/>
        </w:tabs>
        <w:ind w:left="-299" w:firstLine="0"/>
      </w:pPr>
      <w:rPr>
        <w:rFonts w:hint="default"/>
      </w:rPr>
    </w:lvl>
    <w:lvl w:ilvl="4">
      <w:start w:val="1"/>
      <w:numFmt w:val="decimal"/>
      <w:pStyle w:val="Nagwek5"/>
      <w:lvlText w:val="%2.%3.%4.%5."/>
      <w:lvlJc w:val="left"/>
      <w:pPr>
        <w:tabs>
          <w:tab w:val="num" w:pos="1141"/>
        </w:tabs>
        <w:ind w:left="-1008" w:firstLine="709"/>
      </w:pPr>
      <w:rPr>
        <w:rFonts w:hint="default"/>
        <w:b/>
        <w:i w:val="0"/>
      </w:rPr>
    </w:lvl>
    <w:lvl w:ilvl="5">
      <w:start w:val="1"/>
      <w:numFmt w:val="upperLetter"/>
      <w:pStyle w:val="Nagwek6"/>
      <w:lvlText w:val="%6."/>
      <w:lvlJc w:val="left"/>
      <w:pPr>
        <w:tabs>
          <w:tab w:val="num" w:pos="709"/>
        </w:tabs>
        <w:ind w:left="709" w:hanging="709"/>
      </w:pPr>
      <w:rPr>
        <w:rFonts w:hint="default"/>
        <w:b/>
        <w:i w:val="0"/>
      </w:rPr>
    </w:lvl>
    <w:lvl w:ilvl="6">
      <w:start w:val="1"/>
      <w:numFmt w:val="lowerRoman"/>
      <w:pStyle w:val="Nagwek7"/>
      <w:lvlText w:val="%7."/>
      <w:lvlJc w:val="left"/>
      <w:pPr>
        <w:tabs>
          <w:tab w:val="num" w:pos="709"/>
        </w:tabs>
        <w:ind w:left="709" w:hanging="709"/>
      </w:pPr>
      <w:rPr>
        <w:rFonts w:hint="default"/>
      </w:rPr>
    </w:lvl>
    <w:lvl w:ilvl="7">
      <w:start w:val="1"/>
      <w:numFmt w:val="lowerRoman"/>
      <w:pStyle w:val="Nagwek8"/>
      <w:lvlText w:val="%8."/>
      <w:lvlJc w:val="left"/>
      <w:pPr>
        <w:tabs>
          <w:tab w:val="num" w:pos="709"/>
        </w:tabs>
        <w:ind w:left="709" w:hanging="709"/>
      </w:pPr>
      <w:rPr>
        <w:rFonts w:hint="default"/>
      </w:rPr>
    </w:lvl>
    <w:lvl w:ilvl="8">
      <w:start w:val="1"/>
      <w:numFmt w:val="lowerRoman"/>
      <w:pStyle w:val="Nagwek9"/>
      <w:lvlText w:val="%9."/>
      <w:lvlJc w:val="left"/>
      <w:pPr>
        <w:tabs>
          <w:tab w:val="num" w:pos="709"/>
        </w:tabs>
        <w:ind w:left="709" w:hanging="709"/>
      </w:pPr>
      <w:rPr>
        <w:rFonts w:hint="default"/>
      </w:rPr>
    </w:lvl>
  </w:abstractNum>
  <w:abstractNum w:abstractNumId="21">
    <w:nsid w:val="6F170501"/>
    <w:multiLevelType w:val="hybridMultilevel"/>
    <w:tmpl w:val="25EC19DA"/>
    <w:lvl w:ilvl="0" w:tplc="04150011">
      <w:start w:val="1"/>
      <w:numFmt w:val="decimal"/>
      <w:lvlText w:val="%1)"/>
      <w:lvlJc w:val="left"/>
      <w:pPr>
        <w:ind w:left="720" w:hanging="360"/>
      </w:pPr>
      <w:rPr>
        <w:rFonts w:hint="default"/>
      </w:rPr>
    </w:lvl>
    <w:lvl w:ilvl="1" w:tplc="41941BE8">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B123C63"/>
    <w:multiLevelType w:val="hybridMultilevel"/>
    <w:tmpl w:val="FF3C4D24"/>
    <w:lvl w:ilvl="0" w:tplc="CD48CDFE">
      <w:start w:val="1"/>
      <w:numFmt w:val="bullet"/>
      <w:lvlText w:val="-"/>
      <w:lvlJc w:val="left"/>
      <w:pPr>
        <w:tabs>
          <w:tab w:val="num" w:pos="1069"/>
        </w:tabs>
        <w:ind w:left="1069" w:hanging="360"/>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20"/>
  </w:num>
  <w:num w:numId="16">
    <w:abstractNumId w:val="1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1"/>
  </w:num>
  <w:num w:numId="20">
    <w:abstractNumId w:val="18"/>
  </w:num>
  <w:num w:numId="21">
    <w:abstractNumId w:val="15"/>
  </w:num>
  <w:num w:numId="22">
    <w:abstractNumId w:val="17"/>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3A"/>
    <w:rsid w:val="00032CA6"/>
    <w:rsid w:val="00161BAD"/>
    <w:rsid w:val="001E2081"/>
    <w:rsid w:val="002440FE"/>
    <w:rsid w:val="003A7FC9"/>
    <w:rsid w:val="003F6505"/>
    <w:rsid w:val="004448B0"/>
    <w:rsid w:val="0044685D"/>
    <w:rsid w:val="004767B3"/>
    <w:rsid w:val="004D2AD5"/>
    <w:rsid w:val="005A2DC6"/>
    <w:rsid w:val="005C5656"/>
    <w:rsid w:val="0061787C"/>
    <w:rsid w:val="006261EC"/>
    <w:rsid w:val="006A0922"/>
    <w:rsid w:val="00747892"/>
    <w:rsid w:val="00761320"/>
    <w:rsid w:val="007B2BFC"/>
    <w:rsid w:val="007F7771"/>
    <w:rsid w:val="00853DCE"/>
    <w:rsid w:val="0087438E"/>
    <w:rsid w:val="008819DE"/>
    <w:rsid w:val="009336FE"/>
    <w:rsid w:val="009422D3"/>
    <w:rsid w:val="009D76C8"/>
    <w:rsid w:val="00AC59D4"/>
    <w:rsid w:val="00B312D5"/>
    <w:rsid w:val="00CD2856"/>
    <w:rsid w:val="00D42334"/>
    <w:rsid w:val="00D958B0"/>
    <w:rsid w:val="00E07B2C"/>
    <w:rsid w:val="00E4433A"/>
    <w:rsid w:val="00E63F90"/>
    <w:rsid w:val="00EB2DAC"/>
    <w:rsid w:val="00F7157D"/>
    <w:rsid w:val="00FC3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pPr>
    <w:rPr>
      <w:sz w:val="24"/>
      <w:szCs w:val="24"/>
      <w:lang w:eastAsia="en-US"/>
    </w:rPr>
  </w:style>
  <w:style w:type="paragraph" w:styleId="Nagwek1">
    <w:name w:val="heading 1"/>
    <w:basedOn w:val="Normalny"/>
    <w:next w:val="Normalny"/>
    <w:qFormat/>
    <w:pPr>
      <w:keepNext/>
      <w:numPr>
        <w:numId w:val="15"/>
      </w:numPr>
      <w:spacing w:before="240" w:after="360"/>
      <w:outlineLvl w:val="0"/>
    </w:pPr>
    <w:rPr>
      <w:rFonts w:ascii="EY Gothic Cond Medium" w:hAnsi="EY Gothic Cond Medium" w:cs="Arial"/>
      <w:b/>
      <w:bCs/>
      <w:sz w:val="48"/>
      <w:szCs w:val="32"/>
    </w:rPr>
  </w:style>
  <w:style w:type="paragraph" w:styleId="Nagwek2">
    <w:name w:val="heading 2"/>
    <w:basedOn w:val="Normalny"/>
    <w:next w:val="Normalny"/>
    <w:qFormat/>
    <w:pPr>
      <w:keepNext/>
      <w:numPr>
        <w:ilvl w:val="1"/>
        <w:numId w:val="15"/>
      </w:numPr>
      <w:spacing w:before="240" w:after="360"/>
      <w:outlineLvl w:val="1"/>
    </w:pPr>
    <w:rPr>
      <w:rFonts w:ascii="EY Gothic Cond Medium" w:hAnsi="EY Gothic Cond Medium" w:cs="Arial"/>
      <w:bCs/>
      <w:iCs/>
      <w:sz w:val="32"/>
      <w:szCs w:val="28"/>
    </w:rPr>
  </w:style>
  <w:style w:type="paragraph" w:styleId="Nagwek3">
    <w:name w:val="heading 3"/>
    <w:basedOn w:val="Normalny"/>
    <w:next w:val="Normalny"/>
    <w:qFormat/>
    <w:pPr>
      <w:keepNext/>
      <w:numPr>
        <w:ilvl w:val="2"/>
        <w:numId w:val="15"/>
      </w:numPr>
      <w:spacing w:before="240" w:after="360"/>
      <w:outlineLvl w:val="2"/>
    </w:pPr>
    <w:rPr>
      <w:rFonts w:ascii="EY Gothic Cond Medium" w:hAnsi="EY Gothic Cond Medium" w:cs="Arial"/>
      <w:bCs/>
      <w:sz w:val="28"/>
      <w:szCs w:val="26"/>
    </w:rPr>
  </w:style>
  <w:style w:type="paragraph" w:styleId="Nagwek4">
    <w:name w:val="heading 4"/>
    <w:basedOn w:val="Normalny"/>
    <w:next w:val="Normalny"/>
    <w:qFormat/>
    <w:pPr>
      <w:keepNext/>
      <w:numPr>
        <w:ilvl w:val="3"/>
        <w:numId w:val="15"/>
      </w:numPr>
      <w:spacing w:before="240" w:after="240"/>
      <w:outlineLvl w:val="3"/>
    </w:pPr>
    <w:rPr>
      <w:rFonts w:ascii="EY Gothic Cond Medium" w:hAnsi="EY Gothic Cond Medium"/>
      <w:bCs/>
      <w:sz w:val="26"/>
      <w:szCs w:val="28"/>
    </w:rPr>
  </w:style>
  <w:style w:type="paragraph" w:styleId="Nagwek5">
    <w:name w:val="heading 5"/>
    <w:basedOn w:val="Normalny"/>
    <w:next w:val="Normalny"/>
    <w:qFormat/>
    <w:pPr>
      <w:keepNext/>
      <w:numPr>
        <w:ilvl w:val="4"/>
        <w:numId w:val="15"/>
      </w:numPr>
      <w:spacing w:before="240" w:after="240"/>
      <w:outlineLvl w:val="4"/>
    </w:pPr>
    <w:rPr>
      <w:bCs/>
      <w:iCs/>
      <w:szCs w:val="26"/>
    </w:rPr>
  </w:style>
  <w:style w:type="paragraph" w:styleId="Nagwek6">
    <w:name w:val="heading 6"/>
    <w:basedOn w:val="Normalny"/>
    <w:next w:val="Normalny"/>
    <w:qFormat/>
    <w:pPr>
      <w:keepNext/>
      <w:numPr>
        <w:ilvl w:val="5"/>
        <w:numId w:val="15"/>
      </w:numPr>
      <w:tabs>
        <w:tab w:val="left" w:pos="1208"/>
      </w:tabs>
      <w:spacing w:after="120"/>
      <w:outlineLvl w:val="5"/>
    </w:pPr>
    <w:rPr>
      <w:bCs/>
      <w:szCs w:val="22"/>
    </w:rPr>
  </w:style>
  <w:style w:type="paragraph" w:styleId="Nagwek7">
    <w:name w:val="heading 7"/>
    <w:basedOn w:val="Normalny"/>
    <w:next w:val="Normalny"/>
    <w:qFormat/>
    <w:pPr>
      <w:keepNext/>
      <w:numPr>
        <w:ilvl w:val="6"/>
        <w:numId w:val="15"/>
      </w:numPr>
      <w:spacing w:before="60"/>
      <w:outlineLvl w:val="6"/>
    </w:pPr>
    <w:rPr>
      <w:i/>
      <w:sz w:val="22"/>
    </w:rPr>
  </w:style>
  <w:style w:type="paragraph" w:styleId="Nagwek8">
    <w:name w:val="heading 8"/>
    <w:basedOn w:val="Normalny"/>
    <w:next w:val="Normalny"/>
    <w:qFormat/>
    <w:pPr>
      <w:keepNext/>
      <w:numPr>
        <w:ilvl w:val="7"/>
        <w:numId w:val="15"/>
      </w:numPr>
      <w:spacing w:before="60"/>
      <w:outlineLvl w:val="7"/>
    </w:pPr>
    <w:rPr>
      <w:i/>
      <w:iCs/>
      <w:sz w:val="22"/>
    </w:rPr>
  </w:style>
  <w:style w:type="paragraph" w:styleId="Nagwek9">
    <w:name w:val="heading 9"/>
    <w:basedOn w:val="Normalny"/>
    <w:next w:val="Normalny"/>
    <w:qFormat/>
    <w:pPr>
      <w:keepNext/>
      <w:numPr>
        <w:ilvl w:val="8"/>
        <w:numId w:val="15"/>
      </w:numPr>
      <w:spacing w:before="60"/>
      <w:outlineLvl w:val="8"/>
    </w:pPr>
    <w:rPr>
      <w:rFonts w:cs="Arial"/>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semiHidden/>
    <w:pPr>
      <w:numPr>
        <w:numId w:val="3"/>
      </w:numPr>
      <w:jc w:val="both"/>
    </w:pPr>
  </w:style>
  <w:style w:type="paragraph" w:styleId="Listapunktowana2">
    <w:name w:val="List Bullet 2"/>
    <w:basedOn w:val="Normalny"/>
    <w:semiHidden/>
    <w:pPr>
      <w:numPr>
        <w:numId w:val="4"/>
      </w:numPr>
      <w:jc w:val="both"/>
    </w:pPr>
  </w:style>
  <w:style w:type="paragraph" w:styleId="Nagwekwykazurde">
    <w:name w:val="toa heading"/>
    <w:basedOn w:val="Normalny"/>
    <w:next w:val="Normalny"/>
    <w:semiHidden/>
    <w:pPr>
      <w:spacing w:after="1320"/>
    </w:pPr>
    <w:rPr>
      <w:rFonts w:ascii="EY Gothic Cond Medium" w:hAnsi="EY Gothic Cond Medium" w:cs="Arial"/>
      <w:bCs/>
      <w:sz w:val="60"/>
    </w:rPr>
  </w:style>
  <w:style w:type="paragraph" w:styleId="Spistreci1">
    <w:name w:val="toc 1"/>
    <w:basedOn w:val="Normalny"/>
    <w:next w:val="Normalny"/>
    <w:semiHidden/>
    <w:pPr>
      <w:tabs>
        <w:tab w:val="left" w:pos="357"/>
        <w:tab w:val="right" w:leader="dot" w:pos="9072"/>
      </w:tabs>
      <w:ind w:left="357" w:hanging="357"/>
    </w:pPr>
    <w:rPr>
      <w:rFonts w:ascii="EY Gothic Cond Medium" w:hAnsi="EY Gothic Cond Medium"/>
      <w:sz w:val="28"/>
    </w:rPr>
  </w:style>
  <w:style w:type="paragraph" w:styleId="Spistreci2">
    <w:name w:val="toc 2"/>
    <w:basedOn w:val="Normalny"/>
    <w:next w:val="Normalny"/>
    <w:semiHidden/>
    <w:pPr>
      <w:tabs>
        <w:tab w:val="left" w:pos="709"/>
        <w:tab w:val="right" w:leader="dot" w:pos="9072"/>
      </w:tabs>
      <w:spacing w:before="80"/>
      <w:ind w:left="714" w:hanging="357"/>
    </w:pPr>
    <w:rPr>
      <w:rFonts w:ascii="EY Gothic Cond Medium" w:hAnsi="EY Gothic Cond Medium"/>
      <w:sz w:val="26"/>
    </w:rPr>
  </w:style>
  <w:style w:type="paragraph" w:styleId="Spistreci3">
    <w:name w:val="toc 3"/>
    <w:basedOn w:val="Normalny"/>
    <w:next w:val="Normalny"/>
    <w:semiHidden/>
    <w:pPr>
      <w:tabs>
        <w:tab w:val="left" w:pos="1208"/>
        <w:tab w:val="right" w:leader="dot" w:pos="9072"/>
      </w:tabs>
      <w:spacing w:before="60"/>
      <w:ind w:left="1208" w:hanging="499"/>
    </w:pPr>
    <w:rPr>
      <w:rFonts w:ascii="EY Gothic Cond Medium" w:hAnsi="EY Gothic Cond Medium"/>
    </w:rPr>
  </w:style>
  <w:style w:type="paragraph" w:styleId="Spistreci4">
    <w:name w:val="toc 4"/>
    <w:basedOn w:val="Normalny"/>
    <w:next w:val="Normalny"/>
    <w:semiHidden/>
    <w:pPr>
      <w:tabs>
        <w:tab w:val="left" w:pos="1775"/>
        <w:tab w:val="right" w:leader="dot" w:pos="9072"/>
      </w:tabs>
      <w:spacing w:before="40"/>
      <w:ind w:left="1775" w:hanging="567"/>
    </w:pPr>
    <w:rPr>
      <w:rFonts w:ascii="EY Gothic Cond Medium" w:hAnsi="EY Gothic Cond Medium"/>
      <w:sz w:val="22"/>
    </w:rPr>
  </w:style>
  <w:style w:type="paragraph" w:styleId="Spistreci5">
    <w:name w:val="toc 5"/>
    <w:basedOn w:val="Normalny"/>
    <w:next w:val="Normalny"/>
    <w:semiHidden/>
    <w:pPr>
      <w:tabs>
        <w:tab w:val="left" w:pos="2410"/>
        <w:tab w:val="right" w:leader="dot" w:pos="9072"/>
      </w:tabs>
      <w:spacing w:before="20"/>
      <w:ind w:left="2416" w:hanging="641"/>
    </w:pPr>
    <w:rPr>
      <w:rFonts w:ascii="EY Gothic Cond Medium" w:hAnsi="EY Gothic Cond Medium"/>
      <w:sz w:val="20"/>
    </w:rPr>
  </w:style>
  <w:style w:type="paragraph" w:styleId="Akapitzlist">
    <w:name w:val="List Paragraph"/>
    <w:basedOn w:val="Normalny"/>
    <w:uiPriority w:val="34"/>
    <w:qFormat/>
    <w:rsid w:val="00E4433A"/>
    <w:pPr>
      <w:ind w:left="720"/>
      <w:contextualSpacing/>
    </w:pPr>
  </w:style>
  <w:style w:type="paragraph" w:styleId="Tekstprzypisudolnego">
    <w:name w:val="footnote text"/>
    <w:basedOn w:val="Normalny"/>
    <w:link w:val="TekstprzypisudolnegoZnak"/>
    <w:uiPriority w:val="99"/>
    <w:semiHidden/>
    <w:rsid w:val="007B2BFC"/>
    <w:pPr>
      <w:spacing w:before="0"/>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7B2BFC"/>
    <w:rPr>
      <w:rFonts w:ascii="Calibri" w:eastAsia="Calibri" w:hAnsi="Calibri"/>
      <w:lang w:eastAsia="en-US"/>
    </w:rPr>
  </w:style>
  <w:style w:type="character" w:styleId="Odwoanieprzypisudolnego">
    <w:name w:val="footnote reference"/>
    <w:basedOn w:val="Domylnaczcionkaakapitu"/>
    <w:uiPriority w:val="99"/>
    <w:semiHidden/>
    <w:rsid w:val="007B2BFC"/>
    <w:rPr>
      <w:rFonts w:cs="Times New Roman"/>
      <w:vertAlign w:val="superscript"/>
    </w:rPr>
  </w:style>
  <w:style w:type="paragraph" w:styleId="Tekstpodstawowy">
    <w:name w:val="Body Text"/>
    <w:basedOn w:val="Normalny"/>
    <w:link w:val="TekstpodstawowyZnak"/>
    <w:uiPriority w:val="99"/>
    <w:rsid w:val="007B2BFC"/>
    <w:pPr>
      <w:spacing w:before="0" w:after="120" w:line="276" w:lineRule="auto"/>
    </w:pPr>
    <w:rPr>
      <w:rFonts w:ascii="Calibri" w:hAnsi="Calibri"/>
      <w:sz w:val="22"/>
      <w:szCs w:val="22"/>
      <w:lang w:eastAsia="pl-PL"/>
    </w:rPr>
  </w:style>
  <w:style w:type="character" w:customStyle="1" w:styleId="TekstpodstawowyZnak">
    <w:name w:val="Tekst podstawowy Znak"/>
    <w:basedOn w:val="Domylnaczcionkaakapitu"/>
    <w:link w:val="Tekstpodstawowy"/>
    <w:uiPriority w:val="99"/>
    <w:rsid w:val="007B2BFC"/>
    <w:rPr>
      <w:rFonts w:ascii="Calibri" w:hAnsi="Calibri"/>
      <w:sz w:val="22"/>
      <w:szCs w:val="22"/>
    </w:rPr>
  </w:style>
  <w:style w:type="paragraph" w:customStyle="1" w:styleId="USTustnpkodeksu">
    <w:name w:val="UST(§) – ust. (§ np. kodeksu)"/>
    <w:basedOn w:val="Normalny"/>
    <w:uiPriority w:val="99"/>
    <w:rsid w:val="00853DCE"/>
    <w:pPr>
      <w:suppressAutoHyphens/>
      <w:autoSpaceDE w:val="0"/>
      <w:autoSpaceDN w:val="0"/>
      <w:adjustRightInd w:val="0"/>
      <w:spacing w:before="0" w:line="360" w:lineRule="auto"/>
      <w:ind w:firstLine="510"/>
      <w:jc w:val="both"/>
    </w:pPr>
    <w:rPr>
      <w:rFonts w:ascii="Times" w:hAnsi="Times" w:cs="Arial"/>
      <w:bCs/>
      <w:szCs w:val="20"/>
      <w:lang w:eastAsia="pl-PL"/>
    </w:rPr>
  </w:style>
  <w:style w:type="character" w:customStyle="1" w:styleId="PKTpunktZnak">
    <w:name w:val="PKT – punkt Znak"/>
    <w:link w:val="PKTpunkt"/>
    <w:uiPriority w:val="99"/>
    <w:locked/>
    <w:rsid w:val="00853DCE"/>
    <w:rPr>
      <w:rFonts w:ascii="Times" w:hAnsi="Times" w:cs="Times"/>
      <w:bCs/>
      <w:sz w:val="24"/>
    </w:rPr>
  </w:style>
  <w:style w:type="paragraph" w:customStyle="1" w:styleId="PKTpunkt">
    <w:name w:val="PKT – punkt"/>
    <w:link w:val="PKTpunktZnak"/>
    <w:uiPriority w:val="99"/>
    <w:rsid w:val="00853DCE"/>
    <w:pPr>
      <w:spacing w:line="360" w:lineRule="auto"/>
      <w:ind w:left="510" w:hanging="510"/>
      <w:jc w:val="both"/>
    </w:pPr>
    <w:rPr>
      <w:rFonts w:ascii="Times" w:hAnsi="Times" w:cs="Times"/>
      <w:bCs/>
      <w:sz w:val="24"/>
    </w:rPr>
  </w:style>
  <w:style w:type="paragraph" w:customStyle="1" w:styleId="CZWSPPKTczwsplnapunktw">
    <w:name w:val="CZ_WSP_PKT – część wspólna punktów"/>
    <w:basedOn w:val="PKTpunkt"/>
    <w:next w:val="USTustnpkodeksu"/>
    <w:uiPriority w:val="99"/>
    <w:rsid w:val="00853DCE"/>
    <w:pPr>
      <w:ind w:left="0" w:firstLine="0"/>
    </w:pPr>
  </w:style>
  <w:style w:type="paragraph" w:customStyle="1" w:styleId="ZDANIENASTNOWYWIERSZnpzddrugienowywierszwust">
    <w:name w:val="ZDANIE_NAST_NOWY_WIERSZ – np. zd. drugie (nowy wiersz) w ust."/>
    <w:basedOn w:val="CZWSPPKTczwsplnapunktw"/>
    <w:next w:val="USTustnpkodeksu"/>
    <w:uiPriority w:val="99"/>
    <w:rsid w:val="00853DCE"/>
  </w:style>
  <w:style w:type="paragraph" w:customStyle="1" w:styleId="ZUSTzmustartykuempunktem">
    <w:name w:val="Z/UST(§) – zm. ust. (§) artykułem (punktem)"/>
    <w:basedOn w:val="Normalny"/>
    <w:uiPriority w:val="99"/>
    <w:rsid w:val="00853DCE"/>
    <w:pPr>
      <w:suppressAutoHyphens/>
      <w:autoSpaceDE w:val="0"/>
      <w:autoSpaceDN w:val="0"/>
      <w:adjustRightInd w:val="0"/>
      <w:spacing w:before="0" w:line="360" w:lineRule="auto"/>
      <w:ind w:left="510" w:firstLine="510"/>
      <w:jc w:val="both"/>
    </w:pPr>
    <w:rPr>
      <w:rFonts w:ascii="Times" w:hAnsi="Times" w:cs="Arial"/>
      <w:szCs w:val="20"/>
      <w:lang w:eastAsia="pl-PL"/>
    </w:rPr>
  </w:style>
  <w:style w:type="character" w:customStyle="1" w:styleId="Kkursywa">
    <w:name w:val="_K_ – kursywa"/>
    <w:basedOn w:val="Domylnaczcionkaakapitu"/>
    <w:uiPriority w:val="1"/>
    <w:qFormat/>
    <w:rsid w:val="00853DCE"/>
    <w:rPr>
      <w:rFonts w:ascii="Times New Roman" w:hAnsi="Times New Roman" w:cs="Times New Roman" w:hint="default"/>
      <w:i/>
      <w:iCs w:val="0"/>
    </w:rPr>
  </w:style>
  <w:style w:type="paragraph" w:styleId="Tekstdymka">
    <w:name w:val="Balloon Text"/>
    <w:basedOn w:val="Normalny"/>
    <w:link w:val="TekstdymkaZnak"/>
    <w:uiPriority w:val="99"/>
    <w:semiHidden/>
    <w:unhideWhenUsed/>
    <w:rsid w:val="009422D3"/>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22D3"/>
    <w:rPr>
      <w:rFonts w:ascii="Segoe UI" w:hAnsi="Segoe UI" w:cs="Segoe UI"/>
      <w:sz w:val="18"/>
      <w:szCs w:val="18"/>
      <w:lang w:eastAsia="en-US"/>
    </w:rPr>
  </w:style>
  <w:style w:type="character" w:styleId="Odwoaniedokomentarza">
    <w:name w:val="annotation reference"/>
    <w:basedOn w:val="Domylnaczcionkaakapitu"/>
    <w:unhideWhenUsed/>
    <w:rsid w:val="0087438E"/>
    <w:rPr>
      <w:sz w:val="16"/>
      <w:szCs w:val="16"/>
    </w:rPr>
  </w:style>
  <w:style w:type="paragraph" w:styleId="Tekstkomentarza">
    <w:name w:val="annotation text"/>
    <w:basedOn w:val="Normalny"/>
    <w:link w:val="TekstkomentarzaZnak"/>
    <w:uiPriority w:val="99"/>
    <w:unhideWhenUsed/>
    <w:rsid w:val="0087438E"/>
    <w:pPr>
      <w:spacing w:before="0" w:after="200"/>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87438E"/>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pPr>
    <w:rPr>
      <w:sz w:val="24"/>
      <w:szCs w:val="24"/>
      <w:lang w:eastAsia="en-US"/>
    </w:rPr>
  </w:style>
  <w:style w:type="paragraph" w:styleId="Nagwek1">
    <w:name w:val="heading 1"/>
    <w:basedOn w:val="Normalny"/>
    <w:next w:val="Normalny"/>
    <w:qFormat/>
    <w:pPr>
      <w:keepNext/>
      <w:numPr>
        <w:numId w:val="15"/>
      </w:numPr>
      <w:spacing w:before="240" w:after="360"/>
      <w:outlineLvl w:val="0"/>
    </w:pPr>
    <w:rPr>
      <w:rFonts w:ascii="EY Gothic Cond Medium" w:hAnsi="EY Gothic Cond Medium" w:cs="Arial"/>
      <w:b/>
      <w:bCs/>
      <w:sz w:val="48"/>
      <w:szCs w:val="32"/>
    </w:rPr>
  </w:style>
  <w:style w:type="paragraph" w:styleId="Nagwek2">
    <w:name w:val="heading 2"/>
    <w:basedOn w:val="Normalny"/>
    <w:next w:val="Normalny"/>
    <w:qFormat/>
    <w:pPr>
      <w:keepNext/>
      <w:numPr>
        <w:ilvl w:val="1"/>
        <w:numId w:val="15"/>
      </w:numPr>
      <w:spacing w:before="240" w:after="360"/>
      <w:outlineLvl w:val="1"/>
    </w:pPr>
    <w:rPr>
      <w:rFonts w:ascii="EY Gothic Cond Medium" w:hAnsi="EY Gothic Cond Medium" w:cs="Arial"/>
      <w:bCs/>
      <w:iCs/>
      <w:sz w:val="32"/>
      <w:szCs w:val="28"/>
    </w:rPr>
  </w:style>
  <w:style w:type="paragraph" w:styleId="Nagwek3">
    <w:name w:val="heading 3"/>
    <w:basedOn w:val="Normalny"/>
    <w:next w:val="Normalny"/>
    <w:qFormat/>
    <w:pPr>
      <w:keepNext/>
      <w:numPr>
        <w:ilvl w:val="2"/>
        <w:numId w:val="15"/>
      </w:numPr>
      <w:spacing w:before="240" w:after="360"/>
      <w:outlineLvl w:val="2"/>
    </w:pPr>
    <w:rPr>
      <w:rFonts w:ascii="EY Gothic Cond Medium" w:hAnsi="EY Gothic Cond Medium" w:cs="Arial"/>
      <w:bCs/>
      <w:sz w:val="28"/>
      <w:szCs w:val="26"/>
    </w:rPr>
  </w:style>
  <w:style w:type="paragraph" w:styleId="Nagwek4">
    <w:name w:val="heading 4"/>
    <w:basedOn w:val="Normalny"/>
    <w:next w:val="Normalny"/>
    <w:qFormat/>
    <w:pPr>
      <w:keepNext/>
      <w:numPr>
        <w:ilvl w:val="3"/>
        <w:numId w:val="15"/>
      </w:numPr>
      <w:spacing w:before="240" w:after="240"/>
      <w:outlineLvl w:val="3"/>
    </w:pPr>
    <w:rPr>
      <w:rFonts w:ascii="EY Gothic Cond Medium" w:hAnsi="EY Gothic Cond Medium"/>
      <w:bCs/>
      <w:sz w:val="26"/>
      <w:szCs w:val="28"/>
    </w:rPr>
  </w:style>
  <w:style w:type="paragraph" w:styleId="Nagwek5">
    <w:name w:val="heading 5"/>
    <w:basedOn w:val="Normalny"/>
    <w:next w:val="Normalny"/>
    <w:qFormat/>
    <w:pPr>
      <w:keepNext/>
      <w:numPr>
        <w:ilvl w:val="4"/>
        <w:numId w:val="15"/>
      </w:numPr>
      <w:spacing w:before="240" w:after="240"/>
      <w:outlineLvl w:val="4"/>
    </w:pPr>
    <w:rPr>
      <w:bCs/>
      <w:iCs/>
      <w:szCs w:val="26"/>
    </w:rPr>
  </w:style>
  <w:style w:type="paragraph" w:styleId="Nagwek6">
    <w:name w:val="heading 6"/>
    <w:basedOn w:val="Normalny"/>
    <w:next w:val="Normalny"/>
    <w:qFormat/>
    <w:pPr>
      <w:keepNext/>
      <w:numPr>
        <w:ilvl w:val="5"/>
        <w:numId w:val="15"/>
      </w:numPr>
      <w:tabs>
        <w:tab w:val="left" w:pos="1208"/>
      </w:tabs>
      <w:spacing w:after="120"/>
      <w:outlineLvl w:val="5"/>
    </w:pPr>
    <w:rPr>
      <w:bCs/>
      <w:szCs w:val="22"/>
    </w:rPr>
  </w:style>
  <w:style w:type="paragraph" w:styleId="Nagwek7">
    <w:name w:val="heading 7"/>
    <w:basedOn w:val="Normalny"/>
    <w:next w:val="Normalny"/>
    <w:qFormat/>
    <w:pPr>
      <w:keepNext/>
      <w:numPr>
        <w:ilvl w:val="6"/>
        <w:numId w:val="15"/>
      </w:numPr>
      <w:spacing w:before="60"/>
      <w:outlineLvl w:val="6"/>
    </w:pPr>
    <w:rPr>
      <w:i/>
      <w:sz w:val="22"/>
    </w:rPr>
  </w:style>
  <w:style w:type="paragraph" w:styleId="Nagwek8">
    <w:name w:val="heading 8"/>
    <w:basedOn w:val="Normalny"/>
    <w:next w:val="Normalny"/>
    <w:qFormat/>
    <w:pPr>
      <w:keepNext/>
      <w:numPr>
        <w:ilvl w:val="7"/>
        <w:numId w:val="15"/>
      </w:numPr>
      <w:spacing w:before="60"/>
      <w:outlineLvl w:val="7"/>
    </w:pPr>
    <w:rPr>
      <w:i/>
      <w:iCs/>
      <w:sz w:val="22"/>
    </w:rPr>
  </w:style>
  <w:style w:type="paragraph" w:styleId="Nagwek9">
    <w:name w:val="heading 9"/>
    <w:basedOn w:val="Normalny"/>
    <w:next w:val="Normalny"/>
    <w:qFormat/>
    <w:pPr>
      <w:keepNext/>
      <w:numPr>
        <w:ilvl w:val="8"/>
        <w:numId w:val="15"/>
      </w:numPr>
      <w:spacing w:before="60"/>
      <w:outlineLvl w:val="8"/>
    </w:pPr>
    <w:rPr>
      <w:rFonts w:cs="Arial"/>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semiHidden/>
    <w:pPr>
      <w:numPr>
        <w:numId w:val="3"/>
      </w:numPr>
      <w:jc w:val="both"/>
    </w:pPr>
  </w:style>
  <w:style w:type="paragraph" w:styleId="Listapunktowana2">
    <w:name w:val="List Bullet 2"/>
    <w:basedOn w:val="Normalny"/>
    <w:semiHidden/>
    <w:pPr>
      <w:numPr>
        <w:numId w:val="4"/>
      </w:numPr>
      <w:jc w:val="both"/>
    </w:pPr>
  </w:style>
  <w:style w:type="paragraph" w:styleId="Nagwekwykazurde">
    <w:name w:val="toa heading"/>
    <w:basedOn w:val="Normalny"/>
    <w:next w:val="Normalny"/>
    <w:semiHidden/>
    <w:pPr>
      <w:spacing w:after="1320"/>
    </w:pPr>
    <w:rPr>
      <w:rFonts w:ascii="EY Gothic Cond Medium" w:hAnsi="EY Gothic Cond Medium" w:cs="Arial"/>
      <w:bCs/>
      <w:sz w:val="60"/>
    </w:rPr>
  </w:style>
  <w:style w:type="paragraph" w:styleId="Spistreci1">
    <w:name w:val="toc 1"/>
    <w:basedOn w:val="Normalny"/>
    <w:next w:val="Normalny"/>
    <w:semiHidden/>
    <w:pPr>
      <w:tabs>
        <w:tab w:val="left" w:pos="357"/>
        <w:tab w:val="right" w:leader="dot" w:pos="9072"/>
      </w:tabs>
      <w:ind w:left="357" w:hanging="357"/>
    </w:pPr>
    <w:rPr>
      <w:rFonts w:ascii="EY Gothic Cond Medium" w:hAnsi="EY Gothic Cond Medium"/>
      <w:sz w:val="28"/>
    </w:rPr>
  </w:style>
  <w:style w:type="paragraph" w:styleId="Spistreci2">
    <w:name w:val="toc 2"/>
    <w:basedOn w:val="Normalny"/>
    <w:next w:val="Normalny"/>
    <w:semiHidden/>
    <w:pPr>
      <w:tabs>
        <w:tab w:val="left" w:pos="709"/>
        <w:tab w:val="right" w:leader="dot" w:pos="9072"/>
      </w:tabs>
      <w:spacing w:before="80"/>
      <w:ind w:left="714" w:hanging="357"/>
    </w:pPr>
    <w:rPr>
      <w:rFonts w:ascii="EY Gothic Cond Medium" w:hAnsi="EY Gothic Cond Medium"/>
      <w:sz w:val="26"/>
    </w:rPr>
  </w:style>
  <w:style w:type="paragraph" w:styleId="Spistreci3">
    <w:name w:val="toc 3"/>
    <w:basedOn w:val="Normalny"/>
    <w:next w:val="Normalny"/>
    <w:semiHidden/>
    <w:pPr>
      <w:tabs>
        <w:tab w:val="left" w:pos="1208"/>
        <w:tab w:val="right" w:leader="dot" w:pos="9072"/>
      </w:tabs>
      <w:spacing w:before="60"/>
      <w:ind w:left="1208" w:hanging="499"/>
    </w:pPr>
    <w:rPr>
      <w:rFonts w:ascii="EY Gothic Cond Medium" w:hAnsi="EY Gothic Cond Medium"/>
    </w:rPr>
  </w:style>
  <w:style w:type="paragraph" w:styleId="Spistreci4">
    <w:name w:val="toc 4"/>
    <w:basedOn w:val="Normalny"/>
    <w:next w:val="Normalny"/>
    <w:semiHidden/>
    <w:pPr>
      <w:tabs>
        <w:tab w:val="left" w:pos="1775"/>
        <w:tab w:val="right" w:leader="dot" w:pos="9072"/>
      </w:tabs>
      <w:spacing w:before="40"/>
      <w:ind w:left="1775" w:hanging="567"/>
    </w:pPr>
    <w:rPr>
      <w:rFonts w:ascii="EY Gothic Cond Medium" w:hAnsi="EY Gothic Cond Medium"/>
      <w:sz w:val="22"/>
    </w:rPr>
  </w:style>
  <w:style w:type="paragraph" w:styleId="Spistreci5">
    <w:name w:val="toc 5"/>
    <w:basedOn w:val="Normalny"/>
    <w:next w:val="Normalny"/>
    <w:semiHidden/>
    <w:pPr>
      <w:tabs>
        <w:tab w:val="left" w:pos="2410"/>
        <w:tab w:val="right" w:leader="dot" w:pos="9072"/>
      </w:tabs>
      <w:spacing w:before="20"/>
      <w:ind w:left="2416" w:hanging="641"/>
    </w:pPr>
    <w:rPr>
      <w:rFonts w:ascii="EY Gothic Cond Medium" w:hAnsi="EY Gothic Cond Medium"/>
      <w:sz w:val="20"/>
    </w:rPr>
  </w:style>
  <w:style w:type="paragraph" w:styleId="Akapitzlist">
    <w:name w:val="List Paragraph"/>
    <w:basedOn w:val="Normalny"/>
    <w:uiPriority w:val="34"/>
    <w:qFormat/>
    <w:rsid w:val="00E4433A"/>
    <w:pPr>
      <w:ind w:left="720"/>
      <w:contextualSpacing/>
    </w:pPr>
  </w:style>
  <w:style w:type="paragraph" w:styleId="Tekstprzypisudolnego">
    <w:name w:val="footnote text"/>
    <w:basedOn w:val="Normalny"/>
    <w:link w:val="TekstprzypisudolnegoZnak"/>
    <w:uiPriority w:val="99"/>
    <w:semiHidden/>
    <w:rsid w:val="007B2BFC"/>
    <w:pPr>
      <w:spacing w:before="0"/>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7B2BFC"/>
    <w:rPr>
      <w:rFonts w:ascii="Calibri" w:eastAsia="Calibri" w:hAnsi="Calibri"/>
      <w:lang w:eastAsia="en-US"/>
    </w:rPr>
  </w:style>
  <w:style w:type="character" w:styleId="Odwoanieprzypisudolnego">
    <w:name w:val="footnote reference"/>
    <w:basedOn w:val="Domylnaczcionkaakapitu"/>
    <w:uiPriority w:val="99"/>
    <w:semiHidden/>
    <w:rsid w:val="007B2BFC"/>
    <w:rPr>
      <w:rFonts w:cs="Times New Roman"/>
      <w:vertAlign w:val="superscript"/>
    </w:rPr>
  </w:style>
  <w:style w:type="paragraph" w:styleId="Tekstpodstawowy">
    <w:name w:val="Body Text"/>
    <w:basedOn w:val="Normalny"/>
    <w:link w:val="TekstpodstawowyZnak"/>
    <w:uiPriority w:val="99"/>
    <w:rsid w:val="007B2BFC"/>
    <w:pPr>
      <w:spacing w:before="0" w:after="120" w:line="276" w:lineRule="auto"/>
    </w:pPr>
    <w:rPr>
      <w:rFonts w:ascii="Calibri" w:hAnsi="Calibri"/>
      <w:sz w:val="22"/>
      <w:szCs w:val="22"/>
      <w:lang w:eastAsia="pl-PL"/>
    </w:rPr>
  </w:style>
  <w:style w:type="character" w:customStyle="1" w:styleId="TekstpodstawowyZnak">
    <w:name w:val="Tekst podstawowy Znak"/>
    <w:basedOn w:val="Domylnaczcionkaakapitu"/>
    <w:link w:val="Tekstpodstawowy"/>
    <w:uiPriority w:val="99"/>
    <w:rsid w:val="007B2BFC"/>
    <w:rPr>
      <w:rFonts w:ascii="Calibri" w:hAnsi="Calibri"/>
      <w:sz w:val="22"/>
      <w:szCs w:val="22"/>
    </w:rPr>
  </w:style>
  <w:style w:type="paragraph" w:customStyle="1" w:styleId="USTustnpkodeksu">
    <w:name w:val="UST(§) – ust. (§ np. kodeksu)"/>
    <w:basedOn w:val="Normalny"/>
    <w:uiPriority w:val="99"/>
    <w:rsid w:val="00853DCE"/>
    <w:pPr>
      <w:suppressAutoHyphens/>
      <w:autoSpaceDE w:val="0"/>
      <w:autoSpaceDN w:val="0"/>
      <w:adjustRightInd w:val="0"/>
      <w:spacing w:before="0" w:line="360" w:lineRule="auto"/>
      <w:ind w:firstLine="510"/>
      <w:jc w:val="both"/>
    </w:pPr>
    <w:rPr>
      <w:rFonts w:ascii="Times" w:hAnsi="Times" w:cs="Arial"/>
      <w:bCs/>
      <w:szCs w:val="20"/>
      <w:lang w:eastAsia="pl-PL"/>
    </w:rPr>
  </w:style>
  <w:style w:type="character" w:customStyle="1" w:styleId="PKTpunktZnak">
    <w:name w:val="PKT – punkt Znak"/>
    <w:link w:val="PKTpunkt"/>
    <w:uiPriority w:val="99"/>
    <w:locked/>
    <w:rsid w:val="00853DCE"/>
    <w:rPr>
      <w:rFonts w:ascii="Times" w:hAnsi="Times" w:cs="Times"/>
      <w:bCs/>
      <w:sz w:val="24"/>
    </w:rPr>
  </w:style>
  <w:style w:type="paragraph" w:customStyle="1" w:styleId="PKTpunkt">
    <w:name w:val="PKT – punkt"/>
    <w:link w:val="PKTpunktZnak"/>
    <w:uiPriority w:val="99"/>
    <w:rsid w:val="00853DCE"/>
    <w:pPr>
      <w:spacing w:line="360" w:lineRule="auto"/>
      <w:ind w:left="510" w:hanging="510"/>
      <w:jc w:val="both"/>
    </w:pPr>
    <w:rPr>
      <w:rFonts w:ascii="Times" w:hAnsi="Times" w:cs="Times"/>
      <w:bCs/>
      <w:sz w:val="24"/>
    </w:rPr>
  </w:style>
  <w:style w:type="paragraph" w:customStyle="1" w:styleId="CZWSPPKTczwsplnapunktw">
    <w:name w:val="CZ_WSP_PKT – część wspólna punktów"/>
    <w:basedOn w:val="PKTpunkt"/>
    <w:next w:val="USTustnpkodeksu"/>
    <w:uiPriority w:val="99"/>
    <w:rsid w:val="00853DCE"/>
    <w:pPr>
      <w:ind w:left="0" w:firstLine="0"/>
    </w:pPr>
  </w:style>
  <w:style w:type="paragraph" w:customStyle="1" w:styleId="ZDANIENASTNOWYWIERSZnpzddrugienowywierszwust">
    <w:name w:val="ZDANIE_NAST_NOWY_WIERSZ – np. zd. drugie (nowy wiersz) w ust."/>
    <w:basedOn w:val="CZWSPPKTczwsplnapunktw"/>
    <w:next w:val="USTustnpkodeksu"/>
    <w:uiPriority w:val="99"/>
    <w:rsid w:val="00853DCE"/>
  </w:style>
  <w:style w:type="paragraph" w:customStyle="1" w:styleId="ZUSTzmustartykuempunktem">
    <w:name w:val="Z/UST(§) – zm. ust. (§) artykułem (punktem)"/>
    <w:basedOn w:val="Normalny"/>
    <w:uiPriority w:val="99"/>
    <w:rsid w:val="00853DCE"/>
    <w:pPr>
      <w:suppressAutoHyphens/>
      <w:autoSpaceDE w:val="0"/>
      <w:autoSpaceDN w:val="0"/>
      <w:adjustRightInd w:val="0"/>
      <w:spacing w:before="0" w:line="360" w:lineRule="auto"/>
      <w:ind w:left="510" w:firstLine="510"/>
      <w:jc w:val="both"/>
    </w:pPr>
    <w:rPr>
      <w:rFonts w:ascii="Times" w:hAnsi="Times" w:cs="Arial"/>
      <w:szCs w:val="20"/>
      <w:lang w:eastAsia="pl-PL"/>
    </w:rPr>
  </w:style>
  <w:style w:type="character" w:customStyle="1" w:styleId="Kkursywa">
    <w:name w:val="_K_ – kursywa"/>
    <w:basedOn w:val="Domylnaczcionkaakapitu"/>
    <w:uiPriority w:val="1"/>
    <w:qFormat/>
    <w:rsid w:val="00853DCE"/>
    <w:rPr>
      <w:rFonts w:ascii="Times New Roman" w:hAnsi="Times New Roman" w:cs="Times New Roman" w:hint="default"/>
      <w:i/>
      <w:iCs w:val="0"/>
    </w:rPr>
  </w:style>
  <w:style w:type="paragraph" w:styleId="Tekstdymka">
    <w:name w:val="Balloon Text"/>
    <w:basedOn w:val="Normalny"/>
    <w:link w:val="TekstdymkaZnak"/>
    <w:uiPriority w:val="99"/>
    <w:semiHidden/>
    <w:unhideWhenUsed/>
    <w:rsid w:val="009422D3"/>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22D3"/>
    <w:rPr>
      <w:rFonts w:ascii="Segoe UI" w:hAnsi="Segoe UI" w:cs="Segoe UI"/>
      <w:sz w:val="18"/>
      <w:szCs w:val="18"/>
      <w:lang w:eastAsia="en-US"/>
    </w:rPr>
  </w:style>
  <w:style w:type="character" w:styleId="Odwoaniedokomentarza">
    <w:name w:val="annotation reference"/>
    <w:basedOn w:val="Domylnaczcionkaakapitu"/>
    <w:unhideWhenUsed/>
    <w:rsid w:val="0087438E"/>
    <w:rPr>
      <w:sz w:val="16"/>
      <w:szCs w:val="16"/>
    </w:rPr>
  </w:style>
  <w:style w:type="paragraph" w:styleId="Tekstkomentarza">
    <w:name w:val="annotation text"/>
    <w:basedOn w:val="Normalny"/>
    <w:link w:val="TekstkomentarzaZnak"/>
    <w:uiPriority w:val="99"/>
    <w:unhideWhenUsed/>
    <w:rsid w:val="0087438E"/>
    <w:pPr>
      <w:spacing w:before="0" w:after="200"/>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87438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2322</Words>
  <Characters>13934</Characters>
  <Application>Microsoft Office Word</Application>
  <DocSecurity>0</DocSecurity>
  <Lines>116</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Domagala</dc:creator>
  <cp:lastModifiedBy>Strząbała, Ewa</cp:lastModifiedBy>
  <cp:revision>2</cp:revision>
  <cp:lastPrinted>2016-02-04T21:21:00Z</cp:lastPrinted>
  <dcterms:created xsi:type="dcterms:W3CDTF">2016-03-29T11:24:00Z</dcterms:created>
  <dcterms:modified xsi:type="dcterms:W3CDTF">2016-03-29T11:24:00Z</dcterms:modified>
</cp:coreProperties>
</file>