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DE" w:rsidRPr="00E235D2" w:rsidRDefault="004068DE" w:rsidP="004068D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3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Propozycja legislacyjna</w:t>
      </w:r>
    </w:p>
    <w:p w:rsidR="004068DE" w:rsidRPr="00E235D2" w:rsidRDefault="004068DE" w:rsidP="004068D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3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Wojewódzkiej Rady Dialogu Społecznego </w:t>
      </w:r>
      <w:r w:rsidR="001A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Kielcach</w:t>
      </w:r>
    </w:p>
    <w:p w:rsidR="004068DE" w:rsidRDefault="004068DE" w:rsidP="004068DE">
      <w:pPr>
        <w:spacing w:line="360" w:lineRule="auto"/>
        <w:contextualSpacing/>
        <w:jc w:val="both"/>
        <w:rPr>
          <w:b/>
        </w:rPr>
      </w:pPr>
    </w:p>
    <w:p w:rsidR="00B74C17" w:rsidRPr="00220763" w:rsidRDefault="00B74C17" w:rsidP="0022076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mająca na celu usprawnienie zastosowania </w:t>
      </w:r>
      <w:r w:rsidR="000C4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tzw. </w:t>
      </w:r>
      <w:r w:rsidRPr="00220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Rozporządzenia</w:t>
      </w:r>
      <w:r w:rsidR="000C4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taryfowego</w:t>
      </w:r>
      <w:r w:rsidRPr="00220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operatorów systemów dystrybucyjnych dysponujących co najmniej dwoma sieciowymi miejscami przyłączenia</w:t>
      </w:r>
      <w:r w:rsidR="00134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rozszerzenia możliwości skorzystan</w:t>
      </w:r>
      <w:r w:rsidR="009A6E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 z ulgi od opłaty jakościowej</w:t>
      </w:r>
      <w:r w:rsidR="0038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B74C17" w:rsidRPr="00220763" w:rsidRDefault="00B74C17" w:rsidP="0022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1EC" w:rsidRPr="00E235D2" w:rsidRDefault="00D55244" w:rsidP="00D5524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235D2">
        <w:rPr>
          <w:rFonts w:ascii="Times New Roman" w:hAnsi="Times New Roman" w:cs="Times New Roman"/>
          <w:b/>
          <w:sz w:val="24"/>
          <w:szCs w:val="24"/>
        </w:rPr>
        <w:t>Obecne brzmienie przepisów</w:t>
      </w:r>
      <w:r w:rsidR="00E235D2" w:rsidRPr="00E235D2">
        <w:rPr>
          <w:rFonts w:ascii="Times New Roman" w:hAnsi="Times New Roman" w:cs="Times New Roman"/>
          <w:b/>
          <w:sz w:val="24"/>
          <w:szCs w:val="24"/>
        </w:rPr>
        <w:t xml:space="preserve"> rozporządzenia Ministra Gospodarki z dnia 18 sierpnia 2011 r. </w:t>
      </w:r>
      <w:r w:rsidR="00E235D2" w:rsidRPr="00E23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szczegółowych zasad kształtowania i kalkulacji taryf oraz rozliczeń w obrocie energią elektryczną</w:t>
      </w:r>
    </w:p>
    <w:p w:rsidR="00E235D2" w:rsidRPr="00E235D2" w:rsidRDefault="00E235D2" w:rsidP="00E235D2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55244" w:rsidRPr="00220763" w:rsidRDefault="00D55244" w:rsidP="00D55244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Style w:val="articletitle"/>
          <w:rFonts w:ascii="Times New Roman" w:hAnsi="Times New Roman" w:cs="Times New Roman"/>
          <w:sz w:val="24"/>
          <w:szCs w:val="24"/>
        </w:rPr>
      </w:pPr>
      <w:r w:rsidRPr="00220763">
        <w:rPr>
          <w:rStyle w:val="articletitle"/>
          <w:rFonts w:ascii="Times New Roman" w:hAnsi="Times New Roman" w:cs="Times New Roman"/>
          <w:sz w:val="24"/>
          <w:szCs w:val="24"/>
        </w:rPr>
        <w:t xml:space="preserve">§ 25 ust. 2. </w:t>
      </w:r>
    </w:p>
    <w:p w:rsidR="00D55244" w:rsidRPr="00220763" w:rsidRDefault="00D55244" w:rsidP="00D552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„2. Współczynniki oznaczone symbolami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Pr="00220763">
        <w:rPr>
          <w:rFonts w:ascii="Times New Roman" w:hAnsi="Times New Roman" w:cs="Times New Roman"/>
          <w:sz w:val="24"/>
          <w:szCs w:val="24"/>
        </w:rPr>
        <w:t>” i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r w:rsidRPr="00220763">
        <w:rPr>
          <w:rFonts w:ascii="Times New Roman" w:hAnsi="Times New Roman" w:cs="Times New Roman"/>
          <w:sz w:val="24"/>
          <w:szCs w:val="24"/>
        </w:rPr>
        <w:t>”, o których mowa w § 24 ust. 1, ustala się dla odbiorców końcowych:</w:t>
      </w:r>
    </w:p>
    <w:p w:rsidR="00D55244" w:rsidRPr="00220763" w:rsidRDefault="00D55244" w:rsidP="00D55244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którzy w roku kalendarzowym (n-2), poprzedzającym o rok dany rok kalendarzowy (n), </w:t>
      </w:r>
      <w:r w:rsidRPr="00E235D2">
        <w:rPr>
          <w:rFonts w:ascii="Times New Roman" w:hAnsi="Times New Roman" w:cs="Times New Roman"/>
          <w:sz w:val="24"/>
          <w:szCs w:val="24"/>
        </w:rPr>
        <w:t xml:space="preserve">w którym jest stosowana stawka jakościowa, zużyli na własne potrzeby nie mniej niż 400 </w:t>
      </w:r>
      <w:proofErr w:type="spellStart"/>
      <w:r w:rsidRPr="00E235D2">
        <w:rPr>
          <w:rFonts w:ascii="Times New Roman" w:hAnsi="Times New Roman" w:cs="Times New Roman"/>
          <w:sz w:val="24"/>
          <w:szCs w:val="24"/>
        </w:rPr>
        <w:t>GWh</w:t>
      </w:r>
      <w:proofErr w:type="spellEnd"/>
      <w:r w:rsidRPr="00E235D2">
        <w:rPr>
          <w:rFonts w:ascii="Times New Roman" w:hAnsi="Times New Roman" w:cs="Times New Roman"/>
          <w:sz w:val="24"/>
          <w:szCs w:val="24"/>
        </w:rPr>
        <w:t xml:space="preserve"> energii elektrycznej, z wykorzystaniem nie mniej niż 50% mocy umownej, dla których koszt energii elektrycznej obliczonej przy zastosowaniu współczynnika</w:t>
      </w:r>
      <w:r w:rsidRPr="00220763">
        <w:rPr>
          <w:rFonts w:ascii="Times New Roman" w:hAnsi="Times New Roman" w:cs="Times New Roman"/>
          <w:sz w:val="24"/>
          <w:szCs w:val="24"/>
        </w:rPr>
        <w:t xml:space="preserve">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Pr="00220763">
        <w:rPr>
          <w:rFonts w:ascii="Times New Roman" w:hAnsi="Times New Roman" w:cs="Times New Roman"/>
          <w:sz w:val="24"/>
          <w:szCs w:val="24"/>
        </w:rPr>
        <w:t xml:space="preserve">” = 1 stanowi nie mniej niż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20763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wartości produkcji </w:t>
      </w:r>
      <w:r>
        <w:rPr>
          <w:rFonts w:ascii="Times New Roman" w:hAnsi="Times New Roman" w:cs="Times New Roman"/>
          <w:sz w:val="24"/>
          <w:szCs w:val="24"/>
        </w:rPr>
        <w:br/>
      </w:r>
      <w:r w:rsidRPr="00220763">
        <w:rPr>
          <w:rFonts w:ascii="Times New Roman" w:hAnsi="Times New Roman" w:cs="Times New Roman"/>
          <w:sz w:val="24"/>
          <w:szCs w:val="24"/>
        </w:rPr>
        <w:t>jako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Pr="00220763">
        <w:rPr>
          <w:rFonts w:ascii="Times New Roman" w:hAnsi="Times New Roman" w:cs="Times New Roman"/>
          <w:sz w:val="24"/>
          <w:szCs w:val="24"/>
        </w:rPr>
        <w:t>” = 0,1;</w:t>
      </w:r>
    </w:p>
    <w:p w:rsidR="00D55244" w:rsidRPr="00220763" w:rsidRDefault="00D55244" w:rsidP="00D55244">
      <w:pPr>
        <w:spacing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2) </w:t>
      </w:r>
      <w:r w:rsidRPr="00220763">
        <w:rPr>
          <w:rFonts w:ascii="Times New Roman" w:hAnsi="Times New Roman" w:cs="Times New Roman"/>
          <w:sz w:val="24"/>
          <w:szCs w:val="24"/>
        </w:rPr>
        <w:tab/>
        <w:t>w krajowym systemie elektroenergetycznym innych niż odbiorcy, o których mowa w pkt 1, przyłączonych do sieci, w której usługi przesyłania lub dystrybucji energii elektrycznej świadczy operator lub przedsiębiorstwo energetyczne niebędące operatorem, którzy całość kupowanej energii zużywają na własne potrzeby - jako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r w:rsidRPr="00220763">
        <w:rPr>
          <w:rFonts w:ascii="Times New Roman" w:hAnsi="Times New Roman" w:cs="Times New Roman"/>
          <w:sz w:val="24"/>
          <w:szCs w:val="24"/>
        </w:rPr>
        <w:t xml:space="preserve">”; współczynnik ten oblicza się według wzoru: </w:t>
      </w:r>
    </w:p>
    <w:p w:rsidR="00D55244" w:rsidRPr="00220763" w:rsidRDefault="00D55244" w:rsidP="00D55244">
      <w:pPr>
        <w:spacing w:line="360" w:lineRule="auto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23D8A70" wp14:editId="4DF4B8FD">
            <wp:extent cx="3108960" cy="230505"/>
            <wp:effectExtent l="0" t="0" r="0" b="0"/>
            <wp:docPr id="2" name="Picture 2" descr="https://sip.legalis.pl/seam/resource/products/_260669876_eq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p.legalis.pl/seam/resource/products/_260669876_eq1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44" w:rsidRPr="00220763" w:rsidRDefault="00D55244" w:rsidP="00D5524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gdzie symbole E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Pr="0022076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20763">
        <w:rPr>
          <w:rFonts w:ascii="Times New Roman" w:hAnsi="Times New Roman" w:cs="Times New Roman"/>
          <w:sz w:val="24"/>
          <w:szCs w:val="24"/>
        </w:rPr>
        <w:t>E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proofErr w:type="spellEnd"/>
      <w:r w:rsidRPr="00220763">
        <w:rPr>
          <w:rFonts w:ascii="Times New Roman" w:hAnsi="Times New Roman" w:cs="Times New Roman"/>
          <w:sz w:val="24"/>
          <w:szCs w:val="24"/>
        </w:rPr>
        <w:t xml:space="preserve"> oznaczają ilość energii elektrycznej planowaną do zużycia w każdym roku okresu regulacji przez odbiorców, o których mowa w pkt 1, lub odbiorców końcowych innych niż odbiorcy, o których mowa w pkt 1, przyłączonych do sieci, w której usługi przesyłania lub dystrybucji energii elektrycznej świadczy operator lub przedsiębiorstwo energetyczne niebędące operatorem, którzy całość kupowanej energii zużywają na własne potrzeby [w MW lub kWh]”.</w:t>
      </w:r>
    </w:p>
    <w:p w:rsidR="00D55244" w:rsidRDefault="00D55244" w:rsidP="00D5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44" w:rsidRDefault="00D55244" w:rsidP="00D5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44" w:rsidRPr="00220763" w:rsidRDefault="00D55244" w:rsidP="00D5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44" w:rsidRPr="00220763" w:rsidRDefault="00D55244" w:rsidP="00D55244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220763">
        <w:rPr>
          <w:rStyle w:val="st1"/>
          <w:rFonts w:ascii="Times New Roman" w:hAnsi="Times New Roman" w:cs="Times New Roman"/>
          <w:sz w:val="24"/>
          <w:szCs w:val="24"/>
        </w:rPr>
        <w:t>§ 45 ust. 9</w:t>
      </w:r>
      <w:r w:rsidR="00E235D2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D55244" w:rsidRPr="00220763" w:rsidRDefault="00D55244" w:rsidP="00D55244">
      <w:pPr>
        <w:spacing w:line="360" w:lineRule="auto"/>
        <w:ind w:left="284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220763">
        <w:rPr>
          <w:rStyle w:val="st1"/>
          <w:rFonts w:ascii="Times New Roman" w:hAnsi="Times New Roman" w:cs="Times New Roman"/>
          <w:sz w:val="24"/>
          <w:szCs w:val="24"/>
        </w:rPr>
        <w:t xml:space="preserve">„9. Opłaty za </w:t>
      </w:r>
      <w:proofErr w:type="spellStart"/>
      <w:r w:rsidRPr="00220763">
        <w:rPr>
          <w:rStyle w:val="st1"/>
          <w:rFonts w:ascii="Times New Roman" w:hAnsi="Times New Roman" w:cs="Times New Roman"/>
          <w:sz w:val="24"/>
          <w:szCs w:val="24"/>
        </w:rPr>
        <w:t>ponadumowny</w:t>
      </w:r>
      <w:proofErr w:type="spellEnd"/>
      <w:r w:rsidRPr="00220763">
        <w:rPr>
          <w:rStyle w:val="st1"/>
          <w:rFonts w:ascii="Times New Roman" w:hAnsi="Times New Roman" w:cs="Times New Roman"/>
          <w:sz w:val="24"/>
          <w:szCs w:val="24"/>
        </w:rPr>
        <w:t xml:space="preserve"> pobór energii biernej w okresie rozliczeniowym nie pobiera się w rozliczeniach między:</w:t>
      </w:r>
    </w:p>
    <w:p w:rsidR="00D55244" w:rsidRPr="00220763" w:rsidRDefault="00D55244" w:rsidP="00D5524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1) operatorem systemu przesyłowego elektroenergetycznego a operatorem systemu dystrybucyjnego elektroenergetycznego posiadającym co najmniej dwa sieciowe miejsca dostarczania energii elektrycznej połączone siecią tego operatora, w odniesieniu do tych miejsc dostarczania;</w:t>
      </w:r>
    </w:p>
    <w:p w:rsidR="00D55244" w:rsidRPr="00220763" w:rsidRDefault="00D55244" w:rsidP="00D5524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2) operatorami systemów dystrybucyjnych elektroenergetycznych, z których każdy posiada co najmniej</w:t>
      </w:r>
      <w:r>
        <w:rPr>
          <w:rFonts w:ascii="Times New Roman" w:hAnsi="Times New Roman" w:cs="Times New Roman"/>
          <w:sz w:val="24"/>
          <w:szCs w:val="24"/>
        </w:rPr>
        <w:t xml:space="preserve"> po dwa sieciowe miejsca dostarczania energii elektrycznej połączone siecią tego operatora.</w:t>
      </w:r>
      <w:r w:rsidRPr="00220763">
        <w:rPr>
          <w:rFonts w:ascii="Times New Roman" w:hAnsi="Times New Roman" w:cs="Times New Roman"/>
          <w:sz w:val="24"/>
          <w:szCs w:val="24"/>
        </w:rPr>
        <w:t>”</w:t>
      </w:r>
    </w:p>
    <w:p w:rsidR="00D55244" w:rsidRPr="00220763" w:rsidRDefault="00D55244" w:rsidP="00D55244">
      <w:pPr>
        <w:spacing w:line="36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</w:p>
    <w:p w:rsidR="00D55244" w:rsidRPr="00220763" w:rsidRDefault="00E235D2" w:rsidP="00D55244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</w:rPr>
        <w:t>§ 46 ust. 7.</w:t>
      </w:r>
    </w:p>
    <w:p w:rsidR="00D55244" w:rsidRPr="00220763" w:rsidRDefault="00D55244" w:rsidP="00D552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„7. Opłaty za przekroczenia mocy umownej w okresie rozliczeniowym nie pobiera się w rozliczeniach między: </w:t>
      </w:r>
    </w:p>
    <w:p w:rsidR="00D55244" w:rsidRPr="00220763" w:rsidRDefault="00D55244" w:rsidP="00D552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1) operatorem systemu przesyłowego elektroenergetycznego a operatorem systemu dystrybucyjnego elektroenergetycznego posiadającym co najmniej dwa sieciowe miejsca dostarczania energii elektrycznej połączone siecią tego operatora, w odniesieniu do tych miejsc dostarczania;</w:t>
      </w:r>
    </w:p>
    <w:p w:rsidR="00D55244" w:rsidRPr="00220763" w:rsidRDefault="00D55244" w:rsidP="00D552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2) operatorami systemów dystrybucyjnych elektroenergetycznych, z których każdy posiada co najmniej</w:t>
      </w:r>
      <w:r>
        <w:rPr>
          <w:rFonts w:ascii="Times New Roman" w:hAnsi="Times New Roman" w:cs="Times New Roman"/>
          <w:sz w:val="24"/>
          <w:szCs w:val="24"/>
        </w:rPr>
        <w:t xml:space="preserve"> po dwa sieciowe miejsca dostarczania energii elektrycznej połączone siecią tego operatora.</w:t>
      </w:r>
      <w:r w:rsidRPr="00220763">
        <w:rPr>
          <w:rFonts w:ascii="Times New Roman" w:hAnsi="Times New Roman" w:cs="Times New Roman"/>
          <w:sz w:val="24"/>
          <w:szCs w:val="24"/>
        </w:rPr>
        <w:t>”</w:t>
      </w:r>
    </w:p>
    <w:p w:rsidR="00D55244" w:rsidRDefault="00D55244" w:rsidP="00D552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0763" w:rsidRDefault="00220763" w:rsidP="0022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ED2" w:rsidRPr="00220763" w:rsidRDefault="00C15ED2" w:rsidP="002207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0763">
        <w:rPr>
          <w:rFonts w:ascii="Times New Roman" w:hAnsi="Times New Roman" w:cs="Times New Roman"/>
          <w:b/>
          <w:sz w:val="24"/>
          <w:szCs w:val="24"/>
        </w:rPr>
        <w:t>2. Proponowane brzmienie zmian legislacyjnych</w:t>
      </w:r>
    </w:p>
    <w:p w:rsidR="00D55244" w:rsidRDefault="00D55244" w:rsidP="00134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D2" w:rsidRPr="00134A8E" w:rsidRDefault="00C15ED2" w:rsidP="00134A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A8E">
        <w:rPr>
          <w:rFonts w:ascii="Times New Roman" w:hAnsi="Times New Roman" w:cs="Times New Roman"/>
          <w:sz w:val="24"/>
          <w:szCs w:val="24"/>
        </w:rPr>
        <w:t>W rozporządzeniu Ministra Gospodarki</w:t>
      </w:r>
      <w:r w:rsidR="009A6E55">
        <w:rPr>
          <w:rFonts w:ascii="Times New Roman" w:hAnsi="Times New Roman" w:cs="Times New Roman"/>
          <w:sz w:val="24"/>
          <w:szCs w:val="24"/>
        </w:rPr>
        <w:t xml:space="preserve"> z dnia 18 sierpnia 2011 r.</w:t>
      </w:r>
      <w:r w:rsidR="00134A8E" w:rsidRPr="00134A8E">
        <w:rPr>
          <w:rFonts w:ascii="Times New Roman" w:hAnsi="Times New Roman" w:cs="Times New Roman"/>
          <w:sz w:val="24"/>
          <w:szCs w:val="24"/>
        </w:rPr>
        <w:t xml:space="preserve"> </w:t>
      </w:r>
      <w:r w:rsidR="00134A8E" w:rsidRPr="00134A8E">
        <w:rPr>
          <w:rFonts w:ascii="Times New Roman" w:hAnsi="Times New Roman" w:cs="Times New Roman"/>
          <w:color w:val="000000" w:themeColor="text1"/>
          <w:sz w:val="24"/>
          <w:szCs w:val="24"/>
        </w:rPr>
        <w:t>w sprawie szczegółowych zasad kształtowania i kalkulacji taryf oraz rozliczeń w obrocie energią elektryczną</w:t>
      </w:r>
      <w:r w:rsidRPr="00134A8E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C15ED2" w:rsidRPr="00220763" w:rsidRDefault="00C15ED2" w:rsidP="00220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D2" w:rsidRPr="00220763" w:rsidRDefault="00C15ED2" w:rsidP="00220763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Style w:val="articletitle"/>
          <w:rFonts w:ascii="Times New Roman" w:hAnsi="Times New Roman" w:cs="Times New Roman"/>
          <w:sz w:val="24"/>
          <w:szCs w:val="24"/>
        </w:rPr>
      </w:pPr>
      <w:r w:rsidRPr="00220763">
        <w:rPr>
          <w:rStyle w:val="articletitle"/>
          <w:rFonts w:ascii="Times New Roman" w:hAnsi="Times New Roman" w:cs="Times New Roman"/>
          <w:sz w:val="24"/>
          <w:szCs w:val="24"/>
        </w:rPr>
        <w:t>w § 25 ust. 2. otrzymuje brzmienie</w:t>
      </w:r>
    </w:p>
    <w:p w:rsidR="00C15ED2" w:rsidRPr="00220763" w:rsidRDefault="00C15ED2" w:rsidP="002207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lastRenderedPageBreak/>
        <w:t>„2. Współczynniki oznaczone symbolami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Pr="00220763">
        <w:rPr>
          <w:rFonts w:ascii="Times New Roman" w:hAnsi="Times New Roman" w:cs="Times New Roman"/>
          <w:sz w:val="24"/>
          <w:szCs w:val="24"/>
        </w:rPr>
        <w:t>” i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r w:rsidRPr="00220763">
        <w:rPr>
          <w:rFonts w:ascii="Times New Roman" w:hAnsi="Times New Roman" w:cs="Times New Roman"/>
          <w:sz w:val="24"/>
          <w:szCs w:val="24"/>
        </w:rPr>
        <w:t>”, o których mowa w § 24 ust. 1, ustala się dla odbiorców końcowych:</w:t>
      </w:r>
    </w:p>
    <w:p w:rsidR="00C15ED2" w:rsidRPr="00220763" w:rsidRDefault="00C15ED2" w:rsidP="00220763">
      <w:pPr>
        <w:pStyle w:val="Akapitzlist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którzy w roku kalendarzowym (n-2), poprzedzającym o rok dany rok kalendarzowy (n), w którym jest stosowana stawka jakościowa, zużyli na własne potrzeby nie mniej niż </w:t>
      </w:r>
      <w:r w:rsidRPr="00220763">
        <w:rPr>
          <w:rFonts w:ascii="Times New Roman" w:hAnsi="Times New Roman" w:cs="Times New Roman"/>
          <w:b/>
          <w:sz w:val="24"/>
          <w:szCs w:val="24"/>
        </w:rPr>
        <w:t xml:space="preserve">100 </w:t>
      </w:r>
      <w:proofErr w:type="spellStart"/>
      <w:r w:rsidRPr="00220763">
        <w:rPr>
          <w:rFonts w:ascii="Times New Roman" w:hAnsi="Times New Roman" w:cs="Times New Roman"/>
          <w:b/>
          <w:sz w:val="24"/>
          <w:szCs w:val="24"/>
        </w:rPr>
        <w:t>GWh</w:t>
      </w:r>
      <w:proofErr w:type="spellEnd"/>
      <w:r w:rsidRPr="00220763">
        <w:rPr>
          <w:rFonts w:ascii="Times New Roman" w:hAnsi="Times New Roman" w:cs="Times New Roman"/>
          <w:sz w:val="24"/>
          <w:szCs w:val="24"/>
        </w:rPr>
        <w:t xml:space="preserve"> energii elektrycznej, </w:t>
      </w:r>
      <w:r w:rsidR="00815EBE">
        <w:rPr>
          <w:rFonts w:ascii="Times New Roman" w:hAnsi="Times New Roman" w:cs="Times New Roman"/>
          <w:sz w:val="24"/>
          <w:szCs w:val="24"/>
        </w:rPr>
        <w:t xml:space="preserve">z wykorzystaniem nie mniej niż </w:t>
      </w:r>
      <w:r w:rsidR="00540A6B">
        <w:rPr>
          <w:rFonts w:ascii="Times New Roman" w:hAnsi="Times New Roman" w:cs="Times New Roman"/>
          <w:b/>
          <w:sz w:val="24"/>
          <w:szCs w:val="24"/>
        </w:rPr>
        <w:t>4</w:t>
      </w:r>
      <w:r w:rsidRPr="00815EBE">
        <w:rPr>
          <w:rFonts w:ascii="Times New Roman" w:hAnsi="Times New Roman" w:cs="Times New Roman"/>
          <w:b/>
          <w:sz w:val="24"/>
          <w:szCs w:val="24"/>
        </w:rPr>
        <w:t>0% mocy umownej</w:t>
      </w:r>
      <w:r w:rsidRPr="00220763">
        <w:rPr>
          <w:rFonts w:ascii="Times New Roman" w:hAnsi="Times New Roman" w:cs="Times New Roman"/>
          <w:sz w:val="24"/>
          <w:szCs w:val="24"/>
        </w:rPr>
        <w:t>, dla których koszt energii elektrycznej obliczonej przy zastosowaniu współczynnika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Pr="00220763">
        <w:rPr>
          <w:rFonts w:ascii="Times New Roman" w:hAnsi="Times New Roman" w:cs="Times New Roman"/>
          <w:sz w:val="24"/>
          <w:szCs w:val="24"/>
        </w:rPr>
        <w:t xml:space="preserve">” = 1 stanowi nie mniej niż </w:t>
      </w:r>
      <w:r w:rsidRPr="00220763">
        <w:rPr>
          <w:rFonts w:ascii="Times New Roman" w:hAnsi="Times New Roman" w:cs="Times New Roman"/>
          <w:b/>
          <w:sz w:val="24"/>
          <w:szCs w:val="24"/>
        </w:rPr>
        <w:t>3%</w:t>
      </w:r>
      <w:r w:rsidRPr="00220763">
        <w:rPr>
          <w:rFonts w:ascii="Times New Roman" w:hAnsi="Times New Roman" w:cs="Times New Roman"/>
          <w:sz w:val="24"/>
          <w:szCs w:val="24"/>
        </w:rPr>
        <w:t xml:space="preserve"> wartości produkcji </w:t>
      </w:r>
      <w:r w:rsidRPr="00220763">
        <w:rPr>
          <w:rFonts w:ascii="Times New Roman" w:hAnsi="Times New Roman" w:cs="Times New Roman"/>
          <w:b/>
          <w:sz w:val="24"/>
          <w:szCs w:val="24"/>
        </w:rPr>
        <w:t>i których przeważającą działalnością gospodarczą jest działalność określona w Polskiej Klasyfikacji Działalności (PKD) i oznaczona następującymi kodami: 0510; 0729; 0811; 0891; 0893; 0899; 1032; 1039; 1041; 1062; 1104; 1106; 1310; 1320; 1394; 1395; 1411; 1610; 1621; 1711; 1712; 1722; 1920; 2012; 2013; 2014; 2015; 2016; 2017; 2060; 2110; 2221; 2222; 2311; 2312; 2313; 2314; 2319; 2320; 2331; 2342; 2343; 2349; 2399; 2410; 2420; 2431; 2432; 2434; 2441; 2442; 2443; 2444; 2445; 2446; 2720; 3299; 2011; 2332; 2351; 2352; 2451; 2452; 2453; 2454; 2611; 2680; 3832</w:t>
      </w:r>
      <w:r w:rsidR="00F13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54A" w:rsidRPr="00220763">
        <w:rPr>
          <w:rFonts w:ascii="Times New Roman" w:hAnsi="Times New Roman" w:cs="Times New Roman"/>
          <w:sz w:val="24"/>
          <w:szCs w:val="24"/>
        </w:rPr>
        <w:t>jako „k</w:t>
      </w:r>
      <w:r w:rsidR="00F1354A"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="00F1354A" w:rsidRPr="00220763">
        <w:rPr>
          <w:rFonts w:ascii="Times New Roman" w:hAnsi="Times New Roman" w:cs="Times New Roman"/>
          <w:sz w:val="24"/>
          <w:szCs w:val="24"/>
        </w:rPr>
        <w:t>” = 0,1</w:t>
      </w:r>
      <w:r w:rsidRPr="00220763">
        <w:rPr>
          <w:rFonts w:ascii="Times New Roman" w:hAnsi="Times New Roman" w:cs="Times New Roman"/>
          <w:sz w:val="24"/>
          <w:szCs w:val="24"/>
        </w:rPr>
        <w:t>;</w:t>
      </w:r>
    </w:p>
    <w:p w:rsidR="00C15ED2" w:rsidRPr="00220763" w:rsidRDefault="00C15ED2" w:rsidP="00220763">
      <w:pPr>
        <w:spacing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2) </w:t>
      </w:r>
      <w:r w:rsidRPr="00220763">
        <w:rPr>
          <w:rFonts w:ascii="Times New Roman" w:hAnsi="Times New Roman" w:cs="Times New Roman"/>
          <w:sz w:val="24"/>
          <w:szCs w:val="24"/>
        </w:rPr>
        <w:tab/>
        <w:t>w krajowym systemie elektroenergetycznym innych niż odbiorcy, o których mowa w pkt 1, przyłączonych do sieci, w której usługi przesyłania lub dystrybucji energii elektrycznej świadczy operator lub przedsiębiorstwo energetyczne niebędące operatorem, którzy całość kupowanej energii zużywają na własne potrzeby - jako „k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r w:rsidRPr="00220763">
        <w:rPr>
          <w:rFonts w:ascii="Times New Roman" w:hAnsi="Times New Roman" w:cs="Times New Roman"/>
          <w:sz w:val="24"/>
          <w:szCs w:val="24"/>
        </w:rPr>
        <w:t xml:space="preserve">”; współczynnik ten oblicza się według wzoru: </w:t>
      </w:r>
    </w:p>
    <w:p w:rsidR="00C15ED2" w:rsidRPr="00220763" w:rsidRDefault="00C15ED2" w:rsidP="00220763">
      <w:pPr>
        <w:spacing w:line="360" w:lineRule="auto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FAB94D4" wp14:editId="74798552">
            <wp:extent cx="3108960" cy="230505"/>
            <wp:effectExtent l="0" t="0" r="0" b="0"/>
            <wp:docPr id="1" name="Picture 1" descr="https://sip.legalis.pl/seam/resource/products/_260669876_eq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p.legalis.pl/seam/resource/products/_260669876_eq1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D2" w:rsidRPr="00220763" w:rsidRDefault="00C15ED2" w:rsidP="0022076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gdzie symbole E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Pr="0022076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20763">
        <w:rPr>
          <w:rFonts w:ascii="Times New Roman" w:hAnsi="Times New Roman" w:cs="Times New Roman"/>
          <w:sz w:val="24"/>
          <w:szCs w:val="24"/>
        </w:rPr>
        <w:t>E</w:t>
      </w:r>
      <w:r w:rsidRPr="00220763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proofErr w:type="spellEnd"/>
      <w:r w:rsidRPr="00220763">
        <w:rPr>
          <w:rFonts w:ascii="Times New Roman" w:hAnsi="Times New Roman" w:cs="Times New Roman"/>
          <w:sz w:val="24"/>
          <w:szCs w:val="24"/>
        </w:rPr>
        <w:t xml:space="preserve"> oznaczają ilość energii elektrycznej planowaną do zużycia w każdym roku okresu regulacji przez odbiorców, o których mowa w pkt 1, lub odbiorców końcowych innych niż odbiorcy, o których mowa w pkt 1, przyłączonych do sieci, w której usługi przesyłania lub dystrybucji energii elektrycznej świadczy operator lub przedsiębiorstwo energetyczne niebędące operatorem, którzy całość kupowanej energii zużywają na własne potrzeby [w MW lub kWh]”.</w:t>
      </w:r>
    </w:p>
    <w:p w:rsidR="00C15ED2" w:rsidRPr="00220763" w:rsidRDefault="00C15ED2" w:rsidP="00220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D2" w:rsidRPr="00220763" w:rsidRDefault="00C15ED2" w:rsidP="00220763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bookmarkStart w:id="1" w:name="mip25489995"/>
      <w:bookmarkEnd w:id="1"/>
      <w:r w:rsidRPr="00220763">
        <w:rPr>
          <w:rFonts w:ascii="Times New Roman" w:hAnsi="Times New Roman" w:cs="Times New Roman"/>
          <w:sz w:val="24"/>
          <w:szCs w:val="24"/>
        </w:rPr>
        <w:t xml:space="preserve">w </w:t>
      </w:r>
      <w:r w:rsidRPr="00220763">
        <w:rPr>
          <w:rStyle w:val="st1"/>
          <w:rFonts w:ascii="Times New Roman" w:hAnsi="Times New Roman" w:cs="Times New Roman"/>
          <w:sz w:val="24"/>
          <w:szCs w:val="24"/>
        </w:rPr>
        <w:t>§ 45 ust. 9 otrzymuje brzmienie:</w:t>
      </w:r>
    </w:p>
    <w:p w:rsidR="00C15ED2" w:rsidRPr="00220763" w:rsidRDefault="00C15ED2" w:rsidP="00220763">
      <w:pPr>
        <w:spacing w:line="360" w:lineRule="auto"/>
        <w:ind w:left="284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220763">
        <w:rPr>
          <w:rStyle w:val="st1"/>
          <w:rFonts w:ascii="Times New Roman" w:hAnsi="Times New Roman" w:cs="Times New Roman"/>
          <w:sz w:val="24"/>
          <w:szCs w:val="24"/>
        </w:rPr>
        <w:t xml:space="preserve">„9. Opłaty za </w:t>
      </w:r>
      <w:proofErr w:type="spellStart"/>
      <w:r w:rsidRPr="00220763">
        <w:rPr>
          <w:rStyle w:val="st1"/>
          <w:rFonts w:ascii="Times New Roman" w:hAnsi="Times New Roman" w:cs="Times New Roman"/>
          <w:sz w:val="24"/>
          <w:szCs w:val="24"/>
        </w:rPr>
        <w:t>ponadumowny</w:t>
      </w:r>
      <w:proofErr w:type="spellEnd"/>
      <w:r w:rsidRPr="00220763">
        <w:rPr>
          <w:rStyle w:val="st1"/>
          <w:rFonts w:ascii="Times New Roman" w:hAnsi="Times New Roman" w:cs="Times New Roman"/>
          <w:sz w:val="24"/>
          <w:szCs w:val="24"/>
        </w:rPr>
        <w:t xml:space="preserve"> pobór energii biernej w okresie rozliczeniowym nie pobiera się w rozliczeniach między:</w:t>
      </w:r>
    </w:p>
    <w:p w:rsidR="00C15ED2" w:rsidRPr="00220763" w:rsidRDefault="00C15ED2" w:rsidP="0022076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lastRenderedPageBreak/>
        <w:t>1) operatorem systemu przesyłowego elektroenergetycznego a operatorem systemu dystrybucyjnego elektroenergetycznego posiadającym co najmniej dwa sieciowe miejsca dostarczania energii elektrycznej połączone siecią tego operatora, w odniesieniu do tych miejsc dostarczania;</w:t>
      </w:r>
    </w:p>
    <w:p w:rsidR="00C15ED2" w:rsidRPr="00220763" w:rsidRDefault="00C15ED2" w:rsidP="0022076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2) operatorami systemów dystrybucyjnych elektroenergetycznych, z których każdy posiada co najmniej</w:t>
      </w:r>
      <w:r w:rsidR="00F1354A">
        <w:rPr>
          <w:rFonts w:ascii="Times New Roman" w:hAnsi="Times New Roman" w:cs="Times New Roman"/>
          <w:sz w:val="24"/>
          <w:szCs w:val="24"/>
        </w:rPr>
        <w:t xml:space="preserve"> po dwa sieciowe miejsca dostarczania energii elektrycznej połączone siecią tego operatora </w:t>
      </w:r>
      <w:r w:rsidR="00F1354A" w:rsidRPr="00F1354A">
        <w:rPr>
          <w:rFonts w:ascii="Times New Roman" w:hAnsi="Times New Roman" w:cs="Times New Roman"/>
          <w:b/>
          <w:sz w:val="24"/>
          <w:szCs w:val="24"/>
        </w:rPr>
        <w:t>lub z których przynajmniej jeden posiada co najmniej dwa miejsca dostarczania energii elektrycznej z sieci dystrybucyjnej operatora systemu dystrybucyjnego elektroenergetycznego</w:t>
      </w:r>
      <w:r w:rsidRPr="00F1354A">
        <w:rPr>
          <w:rFonts w:ascii="Times New Roman" w:hAnsi="Times New Roman" w:cs="Times New Roman"/>
          <w:b/>
          <w:sz w:val="24"/>
          <w:szCs w:val="24"/>
        </w:rPr>
        <w:t>.</w:t>
      </w:r>
      <w:r w:rsidRPr="00220763">
        <w:rPr>
          <w:rFonts w:ascii="Times New Roman" w:hAnsi="Times New Roman" w:cs="Times New Roman"/>
          <w:sz w:val="24"/>
          <w:szCs w:val="24"/>
        </w:rPr>
        <w:t>”</w:t>
      </w:r>
    </w:p>
    <w:p w:rsidR="00C15ED2" w:rsidRPr="00220763" w:rsidRDefault="00C15ED2" w:rsidP="00220763">
      <w:pPr>
        <w:spacing w:line="36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</w:p>
    <w:p w:rsidR="00C15ED2" w:rsidRPr="00220763" w:rsidRDefault="00C15ED2" w:rsidP="00220763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w </w:t>
      </w:r>
      <w:r w:rsidRPr="00220763">
        <w:rPr>
          <w:rStyle w:val="st1"/>
          <w:rFonts w:ascii="Times New Roman" w:hAnsi="Times New Roman" w:cs="Times New Roman"/>
          <w:sz w:val="24"/>
          <w:szCs w:val="24"/>
        </w:rPr>
        <w:t>§ 46 ust. 7 otrzymuje brzmienie:</w:t>
      </w:r>
    </w:p>
    <w:p w:rsidR="00C15ED2" w:rsidRPr="00220763" w:rsidRDefault="00C15ED2" w:rsidP="002207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„7. Opłaty za przekroczenia mocy umownej w okresie rozliczeniowym nie pobiera się w rozliczeniach między: </w:t>
      </w:r>
    </w:p>
    <w:p w:rsidR="00C15ED2" w:rsidRPr="00220763" w:rsidRDefault="00C15ED2" w:rsidP="002207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1) operatorem systemu przesyłowego elektroenergetycznego a operatorem systemu dystrybucyjnego elektroenergetycznego posiadającym co najmniej dwa sieciowe miejsca dostarczania energii elektrycznej połączone siecią tego operatora, w odniesieniu do tych miejsc dostarczania;</w:t>
      </w:r>
    </w:p>
    <w:p w:rsidR="00C15ED2" w:rsidRPr="00220763" w:rsidRDefault="00C15ED2" w:rsidP="002207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 xml:space="preserve">2) </w:t>
      </w:r>
      <w:r w:rsidR="00F1354A" w:rsidRPr="00220763">
        <w:rPr>
          <w:rFonts w:ascii="Times New Roman" w:hAnsi="Times New Roman" w:cs="Times New Roman"/>
          <w:sz w:val="24"/>
          <w:szCs w:val="24"/>
        </w:rPr>
        <w:t>operatorami systemów dystrybucyjnych elektroenergetycznych, z których każdy posiada co najmniej</w:t>
      </w:r>
      <w:r w:rsidR="00F1354A">
        <w:rPr>
          <w:rFonts w:ascii="Times New Roman" w:hAnsi="Times New Roman" w:cs="Times New Roman"/>
          <w:sz w:val="24"/>
          <w:szCs w:val="24"/>
        </w:rPr>
        <w:t xml:space="preserve"> po dwa sieciowe miejsca dostarczania energii elektrycznej połączone siecią tego operatora </w:t>
      </w:r>
      <w:r w:rsidR="00F1354A" w:rsidRPr="00F1354A">
        <w:rPr>
          <w:rFonts w:ascii="Times New Roman" w:hAnsi="Times New Roman" w:cs="Times New Roman"/>
          <w:b/>
          <w:sz w:val="24"/>
          <w:szCs w:val="24"/>
        </w:rPr>
        <w:t>lub z których przynajmniej jeden posiada co najmniej dwa miejsca dostarczania energii elektrycznej z sieci dystrybucyjnej operatora systemu dystrybucyjnego elektroenergetycznego</w:t>
      </w:r>
      <w:r w:rsidRPr="00F1354A">
        <w:rPr>
          <w:rFonts w:ascii="Times New Roman" w:hAnsi="Times New Roman" w:cs="Times New Roman"/>
          <w:b/>
          <w:sz w:val="24"/>
          <w:szCs w:val="24"/>
        </w:rPr>
        <w:t>.</w:t>
      </w:r>
      <w:r w:rsidRPr="00220763">
        <w:rPr>
          <w:rFonts w:ascii="Times New Roman" w:hAnsi="Times New Roman" w:cs="Times New Roman"/>
          <w:sz w:val="24"/>
          <w:szCs w:val="24"/>
        </w:rPr>
        <w:t>”</w:t>
      </w:r>
    </w:p>
    <w:p w:rsidR="00C15ED2" w:rsidRDefault="00C15ED2" w:rsidP="0022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5244" w:rsidRPr="00220763" w:rsidRDefault="00E235D2" w:rsidP="00D552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5244" w:rsidRPr="00220763">
        <w:rPr>
          <w:rFonts w:ascii="Times New Roman" w:hAnsi="Times New Roman" w:cs="Times New Roman"/>
          <w:b/>
          <w:sz w:val="24"/>
          <w:szCs w:val="24"/>
        </w:rPr>
        <w:t>. Uzasadnienie proponowanych zmian legislacyjnych</w:t>
      </w:r>
    </w:p>
    <w:p w:rsidR="00D55244" w:rsidRPr="00220763" w:rsidRDefault="00D55244" w:rsidP="00D552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5244" w:rsidRPr="00220763" w:rsidRDefault="00D55244" w:rsidP="00D552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Jednym z najpoważniejszych wyzwań dla polskiego przemysłu jest fakt ponoszenia przez niego dodatkowych opłat, znacząco podwyższających ceny energii elektrycznej, takich jak m.in. opłata jakościowa. W związku z ilością energii zużywanej przez najbardziej energochłonne zakłady, powyższa opłata w efekcie skali przekłada się na ogromne obciążenia finansowe dla będącego w trudnej sytuacji sektora metalurgicznego (ale także górniczego). Skorzystanie z funkcjonującej w tym obszarze ulgi uzależnione jest od spełnien</w:t>
      </w:r>
      <w:r>
        <w:rPr>
          <w:rFonts w:ascii="Times New Roman" w:hAnsi="Times New Roman" w:cs="Times New Roman"/>
          <w:sz w:val="24"/>
          <w:szCs w:val="24"/>
        </w:rPr>
        <w:t xml:space="preserve">ia bardzo  ostrych, nieosiągalnych </w:t>
      </w:r>
      <w:r w:rsidRPr="00220763">
        <w:rPr>
          <w:rFonts w:ascii="Times New Roman" w:hAnsi="Times New Roman" w:cs="Times New Roman"/>
          <w:sz w:val="24"/>
          <w:szCs w:val="24"/>
        </w:rPr>
        <w:t>dla typowego prz</w:t>
      </w:r>
      <w:r>
        <w:rPr>
          <w:rFonts w:ascii="Times New Roman" w:hAnsi="Times New Roman" w:cs="Times New Roman"/>
          <w:sz w:val="24"/>
          <w:szCs w:val="24"/>
        </w:rPr>
        <w:t>edsiębiorstwa w branży kryteriów</w:t>
      </w:r>
      <w:r w:rsidRPr="00220763">
        <w:rPr>
          <w:rFonts w:ascii="Times New Roman" w:hAnsi="Times New Roman" w:cs="Times New Roman"/>
          <w:sz w:val="24"/>
          <w:szCs w:val="24"/>
        </w:rPr>
        <w:t xml:space="preserve"> o arbitralnie ustanowionych parametrach. Proponowane jest zatem dostosowanie powyższych kryteriów do </w:t>
      </w:r>
      <w:r w:rsidRPr="00220763">
        <w:rPr>
          <w:rFonts w:ascii="Times New Roman" w:hAnsi="Times New Roman" w:cs="Times New Roman"/>
          <w:sz w:val="24"/>
          <w:szCs w:val="24"/>
        </w:rPr>
        <w:lastRenderedPageBreak/>
        <w:t>realiów funkcjonowania największych zakładów przemysłowych, a tym samym umożliwienie większej liczbie energochłonnych przedsiębiorstw skorzystania z tego rozwiązania.</w:t>
      </w:r>
    </w:p>
    <w:p w:rsidR="00D55244" w:rsidRPr="00220763" w:rsidRDefault="00D55244" w:rsidP="00D55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44" w:rsidRPr="00220763" w:rsidRDefault="00D55244" w:rsidP="00D552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Ponadto, postulowane jest </w:t>
      </w:r>
      <w:r w:rsidRPr="00220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skorygowanie nieścisłości przepisów obecnie obowiązującego Rozporządzenia w sprawie szczegółowych zasad kształtowania i kalkulacji taryf oraz rozliczeń w obrocie energią elektryczną. Zgodnie z jego przepisami, w sposób preferencyjny traktowani są operatorzy systemów dystrybucyjnych, którzy posiadają co najmniej dwa sieciowe miejsca dostarczania energii elektrycznej. W rozliczeniu między nimi nie pobiera się opłaty za przekroczenie mocy umownej oraz </w:t>
      </w:r>
      <w:proofErr w:type="spellStart"/>
      <w:r w:rsidRPr="00220763">
        <w:rPr>
          <w:rFonts w:ascii="Times New Roman" w:hAnsi="Times New Roman" w:cs="Times New Roman"/>
          <w:color w:val="000000" w:themeColor="text1"/>
          <w:sz w:val="24"/>
          <w:szCs w:val="24"/>
        </w:rPr>
        <w:t>ponadumowny</w:t>
      </w:r>
      <w:proofErr w:type="spellEnd"/>
      <w:r w:rsidRPr="00220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pobór energii biernej. </w:t>
      </w:r>
    </w:p>
    <w:p w:rsidR="00D55244" w:rsidRPr="00220763" w:rsidRDefault="00D55244" w:rsidP="00D552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244" w:rsidRPr="00D55244" w:rsidRDefault="00D55244" w:rsidP="00D552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763">
        <w:rPr>
          <w:rFonts w:ascii="Times New Roman" w:hAnsi="Times New Roman" w:cs="Times New Roman"/>
          <w:color w:val="000000" w:themeColor="text1"/>
          <w:sz w:val="24"/>
          <w:szCs w:val="24"/>
        </w:rPr>
        <w:t>Problemem jest natomiast użyta w rozporządzeniu definicja „sieciowego miejsca dostarczania energii”, ponieważ zakłada ona jedynie miejsce dostarczania energii z sieci przesyłowej, uniemożliwiając tym samym stosowanie określonej w przepisach preferencji dla rozliczeń między dwoma operatorami systemów dystrybucyjnych, przyznając taką możliwość wyłącznie w rozliczeniach z operatorem systemu przesyłowego. Proponowane zmiany legislacyjne dążą do rozszerzenia możliwości skorzystania z tej preferencji.</w:t>
      </w:r>
    </w:p>
    <w:sectPr w:rsidR="00D55244" w:rsidRPr="00D5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Y Gothic Cond Medium">
    <w:altName w:val="Franklin Gothic Medium Cond"/>
    <w:charset w:val="00"/>
    <w:family w:val="auto"/>
    <w:pitch w:val="variable"/>
    <w:sig w:usb0="00000001" w:usb1="0000004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903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7EF9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884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9E9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14B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85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683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83F26"/>
    <w:lvl w:ilvl="0">
      <w:start w:val="1"/>
      <w:numFmt w:val="bullet"/>
      <w:pStyle w:val="Listapunktowana2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FFFFFF88"/>
    <w:multiLevelType w:val="singleLevel"/>
    <w:tmpl w:val="A4780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AA148A"/>
    <w:lvl w:ilvl="0">
      <w:start w:val="1"/>
      <w:numFmt w:val="bullet"/>
      <w:pStyle w:val="Listapunktowana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/>
        <w:sz w:val="20"/>
      </w:rPr>
    </w:lvl>
  </w:abstractNum>
  <w:abstractNum w:abstractNumId="10">
    <w:nsid w:val="0749214B"/>
    <w:multiLevelType w:val="multilevel"/>
    <w:tmpl w:val="F35A55EE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11">
    <w:nsid w:val="167F3C51"/>
    <w:multiLevelType w:val="multilevel"/>
    <w:tmpl w:val="A46C679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12">
    <w:nsid w:val="238F6403"/>
    <w:multiLevelType w:val="hybridMultilevel"/>
    <w:tmpl w:val="D4DE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199A"/>
    <w:multiLevelType w:val="multilevel"/>
    <w:tmpl w:val="13F4F18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14">
    <w:nsid w:val="2D7768DA"/>
    <w:multiLevelType w:val="hybridMultilevel"/>
    <w:tmpl w:val="981C0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E6E08"/>
    <w:multiLevelType w:val="hybridMultilevel"/>
    <w:tmpl w:val="D4DE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E3BA8"/>
    <w:multiLevelType w:val="multilevel"/>
    <w:tmpl w:val="A2D2FA3A"/>
    <w:lvl w:ilvl="0">
      <w:start w:val="1"/>
      <w:numFmt w:val="upperRoman"/>
      <w:pStyle w:val="Nagwek1"/>
      <w:lvlText w:val="%1."/>
      <w:lvlJc w:val="left"/>
      <w:pPr>
        <w:tabs>
          <w:tab w:val="num" w:pos="-288"/>
        </w:tabs>
        <w:ind w:left="-1008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-648"/>
        </w:tabs>
        <w:ind w:left="-1008" w:firstLine="0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781"/>
        </w:tabs>
        <w:ind w:left="-299" w:firstLine="0"/>
      </w:pPr>
      <w:rPr>
        <w:rFonts w:hint="default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141"/>
        </w:tabs>
        <w:ind w:left="-1008" w:firstLine="709"/>
      </w:pPr>
      <w:rPr>
        <w:rFonts w:hint="default"/>
        <w:b/>
        <w:i w:val="0"/>
      </w:rPr>
    </w:lvl>
    <w:lvl w:ilvl="5">
      <w:start w:val="1"/>
      <w:numFmt w:val="upperLetter"/>
      <w:pStyle w:val="Nagwek6"/>
      <w:lvlText w:val="%6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>
    <w:nsid w:val="674220F9"/>
    <w:multiLevelType w:val="hybridMultilevel"/>
    <w:tmpl w:val="D28CC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23C63"/>
    <w:multiLevelType w:val="hybridMultilevel"/>
    <w:tmpl w:val="FF3C4D24"/>
    <w:lvl w:ilvl="0" w:tplc="CD48CDF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17"/>
    <w:rsid w:val="000C4A74"/>
    <w:rsid w:val="001002BA"/>
    <w:rsid w:val="00134A8E"/>
    <w:rsid w:val="001A1CC8"/>
    <w:rsid w:val="00220763"/>
    <w:rsid w:val="0038570F"/>
    <w:rsid w:val="004068DE"/>
    <w:rsid w:val="00540A6B"/>
    <w:rsid w:val="006261EC"/>
    <w:rsid w:val="00790ED4"/>
    <w:rsid w:val="00815EBE"/>
    <w:rsid w:val="008F1E7A"/>
    <w:rsid w:val="009A6E55"/>
    <w:rsid w:val="009D46CC"/>
    <w:rsid w:val="00B74C17"/>
    <w:rsid w:val="00C15ED2"/>
    <w:rsid w:val="00D22D7D"/>
    <w:rsid w:val="00D55244"/>
    <w:rsid w:val="00DF21EF"/>
    <w:rsid w:val="00E235D2"/>
    <w:rsid w:val="00F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C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5"/>
      </w:numPr>
      <w:spacing w:before="240" w:after="360"/>
      <w:outlineLvl w:val="0"/>
    </w:pPr>
    <w:rPr>
      <w:rFonts w:ascii="EY Gothic Cond Medium" w:hAnsi="EY Gothic Cond Medium" w:cs="Arial"/>
      <w:b/>
      <w:bCs/>
      <w:sz w:val="48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5"/>
      </w:numPr>
      <w:spacing w:before="240" w:after="360"/>
      <w:outlineLvl w:val="1"/>
    </w:pPr>
    <w:rPr>
      <w:rFonts w:ascii="EY Gothic Cond Medium" w:hAnsi="EY Gothic Cond Medium" w:cs="Arial"/>
      <w:bCs/>
      <w:i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5"/>
      </w:numPr>
      <w:spacing w:before="240" w:after="360"/>
      <w:outlineLvl w:val="2"/>
    </w:pPr>
    <w:rPr>
      <w:rFonts w:ascii="EY Gothic Cond Medium" w:hAnsi="EY Gothic Cond Medium" w:cs="Arial"/>
      <w:bCs/>
      <w:sz w:val="28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5"/>
      </w:numPr>
      <w:spacing w:before="240" w:after="240"/>
      <w:outlineLvl w:val="3"/>
    </w:pPr>
    <w:rPr>
      <w:rFonts w:ascii="EY Gothic Cond Medium" w:hAnsi="EY Gothic Cond Medium"/>
      <w:bCs/>
      <w:sz w:val="26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5"/>
      </w:numPr>
      <w:spacing w:before="240" w:after="240"/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5"/>
      </w:numPr>
      <w:tabs>
        <w:tab w:val="left" w:pos="1208"/>
      </w:tabs>
      <w:spacing w:after="120"/>
      <w:outlineLvl w:val="5"/>
    </w:pPr>
    <w:rPr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5"/>
      </w:numPr>
      <w:spacing w:before="60"/>
      <w:outlineLvl w:val="6"/>
    </w:pPr>
    <w:rPr>
      <w:i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5"/>
      </w:numPr>
      <w:spacing w:before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5"/>
      </w:numPr>
      <w:spacing w:before="60"/>
      <w:outlineLvl w:val="8"/>
    </w:pPr>
    <w:rPr>
      <w:rFonts w:cs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semiHidden/>
    <w:pPr>
      <w:numPr>
        <w:numId w:val="3"/>
      </w:numPr>
      <w:jc w:val="both"/>
    </w:pPr>
  </w:style>
  <w:style w:type="paragraph" w:styleId="Listapunktowana2">
    <w:name w:val="List Bullet 2"/>
    <w:basedOn w:val="Normalny"/>
    <w:semiHidden/>
    <w:pPr>
      <w:numPr>
        <w:numId w:val="4"/>
      </w:numPr>
      <w:jc w:val="both"/>
    </w:pPr>
  </w:style>
  <w:style w:type="paragraph" w:styleId="Nagwekwykazurde">
    <w:name w:val="toa heading"/>
    <w:basedOn w:val="Normalny"/>
    <w:next w:val="Normalny"/>
    <w:semiHidden/>
    <w:pPr>
      <w:spacing w:after="1320"/>
    </w:pPr>
    <w:rPr>
      <w:rFonts w:ascii="EY Gothic Cond Medium" w:hAnsi="EY Gothic Cond Medium" w:cs="Arial"/>
      <w:bCs/>
      <w:sz w:val="60"/>
    </w:rPr>
  </w:style>
  <w:style w:type="paragraph" w:styleId="Spistreci1">
    <w:name w:val="toc 1"/>
    <w:basedOn w:val="Normalny"/>
    <w:next w:val="Normalny"/>
    <w:semiHidden/>
    <w:pPr>
      <w:tabs>
        <w:tab w:val="left" w:pos="357"/>
        <w:tab w:val="right" w:leader="dot" w:pos="9072"/>
      </w:tabs>
      <w:ind w:left="357" w:hanging="357"/>
    </w:pPr>
    <w:rPr>
      <w:rFonts w:ascii="EY Gothic Cond Medium" w:hAnsi="EY Gothic Cond Medium"/>
      <w:sz w:val="28"/>
    </w:rPr>
  </w:style>
  <w:style w:type="paragraph" w:styleId="Spistreci2">
    <w:name w:val="toc 2"/>
    <w:basedOn w:val="Normalny"/>
    <w:next w:val="Normalny"/>
    <w:semiHidden/>
    <w:pPr>
      <w:tabs>
        <w:tab w:val="left" w:pos="709"/>
        <w:tab w:val="right" w:leader="dot" w:pos="9072"/>
      </w:tabs>
      <w:spacing w:before="80"/>
      <w:ind w:left="714" w:hanging="357"/>
    </w:pPr>
    <w:rPr>
      <w:rFonts w:ascii="EY Gothic Cond Medium" w:hAnsi="EY Gothic Cond Medium"/>
      <w:sz w:val="26"/>
    </w:rPr>
  </w:style>
  <w:style w:type="paragraph" w:styleId="Spistreci3">
    <w:name w:val="toc 3"/>
    <w:basedOn w:val="Normalny"/>
    <w:next w:val="Normalny"/>
    <w:semiHidden/>
    <w:pPr>
      <w:tabs>
        <w:tab w:val="left" w:pos="1208"/>
        <w:tab w:val="right" w:leader="dot" w:pos="9072"/>
      </w:tabs>
      <w:spacing w:before="60"/>
      <w:ind w:left="1208" w:hanging="499"/>
    </w:pPr>
    <w:rPr>
      <w:rFonts w:ascii="EY Gothic Cond Medium" w:hAnsi="EY Gothic Cond Medium"/>
    </w:rPr>
  </w:style>
  <w:style w:type="paragraph" w:styleId="Spistreci4">
    <w:name w:val="toc 4"/>
    <w:basedOn w:val="Normalny"/>
    <w:next w:val="Normalny"/>
    <w:semiHidden/>
    <w:pPr>
      <w:tabs>
        <w:tab w:val="left" w:pos="1775"/>
        <w:tab w:val="right" w:leader="dot" w:pos="9072"/>
      </w:tabs>
      <w:spacing w:before="40"/>
      <w:ind w:left="1775" w:hanging="567"/>
    </w:pPr>
    <w:rPr>
      <w:rFonts w:ascii="EY Gothic Cond Medium" w:hAnsi="EY Gothic Cond Medium"/>
    </w:rPr>
  </w:style>
  <w:style w:type="paragraph" w:styleId="Spistreci5">
    <w:name w:val="toc 5"/>
    <w:basedOn w:val="Normalny"/>
    <w:next w:val="Normalny"/>
    <w:semiHidden/>
    <w:pPr>
      <w:tabs>
        <w:tab w:val="left" w:pos="2410"/>
        <w:tab w:val="right" w:leader="dot" w:pos="9072"/>
      </w:tabs>
      <w:spacing w:before="20"/>
      <w:ind w:left="2416" w:hanging="641"/>
    </w:pPr>
    <w:rPr>
      <w:rFonts w:ascii="EY Gothic Cond Medium" w:hAnsi="EY Gothic Cond Medium"/>
      <w:sz w:val="20"/>
    </w:rPr>
  </w:style>
  <w:style w:type="paragraph" w:styleId="Akapitzlist">
    <w:name w:val="List Paragraph"/>
    <w:basedOn w:val="Normalny"/>
    <w:uiPriority w:val="34"/>
    <w:qFormat/>
    <w:rsid w:val="00B74C17"/>
    <w:pPr>
      <w:ind w:left="720"/>
      <w:contextualSpacing/>
    </w:pPr>
  </w:style>
  <w:style w:type="character" w:customStyle="1" w:styleId="st1">
    <w:name w:val="st1"/>
    <w:basedOn w:val="Domylnaczcionkaakapitu"/>
    <w:rsid w:val="00C15ED2"/>
  </w:style>
  <w:style w:type="character" w:customStyle="1" w:styleId="articletitle">
    <w:name w:val="articletitle"/>
    <w:basedOn w:val="Domylnaczcionkaakapitu"/>
    <w:rsid w:val="00C15ED2"/>
  </w:style>
  <w:style w:type="paragraph" w:styleId="Tekstdymka">
    <w:name w:val="Balloon Text"/>
    <w:basedOn w:val="Normalny"/>
    <w:link w:val="TekstdymkaZnak"/>
    <w:uiPriority w:val="99"/>
    <w:semiHidden/>
    <w:unhideWhenUsed/>
    <w:rsid w:val="00F13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54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C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5"/>
      </w:numPr>
      <w:spacing w:before="240" w:after="360"/>
      <w:outlineLvl w:val="0"/>
    </w:pPr>
    <w:rPr>
      <w:rFonts w:ascii="EY Gothic Cond Medium" w:hAnsi="EY Gothic Cond Medium" w:cs="Arial"/>
      <w:b/>
      <w:bCs/>
      <w:sz w:val="48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5"/>
      </w:numPr>
      <w:spacing w:before="240" w:after="360"/>
      <w:outlineLvl w:val="1"/>
    </w:pPr>
    <w:rPr>
      <w:rFonts w:ascii="EY Gothic Cond Medium" w:hAnsi="EY Gothic Cond Medium" w:cs="Arial"/>
      <w:bCs/>
      <w:i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5"/>
      </w:numPr>
      <w:spacing w:before="240" w:after="360"/>
      <w:outlineLvl w:val="2"/>
    </w:pPr>
    <w:rPr>
      <w:rFonts w:ascii="EY Gothic Cond Medium" w:hAnsi="EY Gothic Cond Medium" w:cs="Arial"/>
      <w:bCs/>
      <w:sz w:val="28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5"/>
      </w:numPr>
      <w:spacing w:before="240" w:after="240"/>
      <w:outlineLvl w:val="3"/>
    </w:pPr>
    <w:rPr>
      <w:rFonts w:ascii="EY Gothic Cond Medium" w:hAnsi="EY Gothic Cond Medium"/>
      <w:bCs/>
      <w:sz w:val="26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5"/>
      </w:numPr>
      <w:spacing w:before="240" w:after="240"/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5"/>
      </w:numPr>
      <w:tabs>
        <w:tab w:val="left" w:pos="1208"/>
      </w:tabs>
      <w:spacing w:after="120"/>
      <w:outlineLvl w:val="5"/>
    </w:pPr>
    <w:rPr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5"/>
      </w:numPr>
      <w:spacing w:before="60"/>
      <w:outlineLvl w:val="6"/>
    </w:pPr>
    <w:rPr>
      <w:i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5"/>
      </w:numPr>
      <w:spacing w:before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5"/>
      </w:numPr>
      <w:spacing w:before="60"/>
      <w:outlineLvl w:val="8"/>
    </w:pPr>
    <w:rPr>
      <w:rFonts w:cs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semiHidden/>
    <w:pPr>
      <w:numPr>
        <w:numId w:val="3"/>
      </w:numPr>
      <w:jc w:val="both"/>
    </w:pPr>
  </w:style>
  <w:style w:type="paragraph" w:styleId="Listapunktowana2">
    <w:name w:val="List Bullet 2"/>
    <w:basedOn w:val="Normalny"/>
    <w:semiHidden/>
    <w:pPr>
      <w:numPr>
        <w:numId w:val="4"/>
      </w:numPr>
      <w:jc w:val="both"/>
    </w:pPr>
  </w:style>
  <w:style w:type="paragraph" w:styleId="Nagwekwykazurde">
    <w:name w:val="toa heading"/>
    <w:basedOn w:val="Normalny"/>
    <w:next w:val="Normalny"/>
    <w:semiHidden/>
    <w:pPr>
      <w:spacing w:after="1320"/>
    </w:pPr>
    <w:rPr>
      <w:rFonts w:ascii="EY Gothic Cond Medium" w:hAnsi="EY Gothic Cond Medium" w:cs="Arial"/>
      <w:bCs/>
      <w:sz w:val="60"/>
    </w:rPr>
  </w:style>
  <w:style w:type="paragraph" w:styleId="Spistreci1">
    <w:name w:val="toc 1"/>
    <w:basedOn w:val="Normalny"/>
    <w:next w:val="Normalny"/>
    <w:semiHidden/>
    <w:pPr>
      <w:tabs>
        <w:tab w:val="left" w:pos="357"/>
        <w:tab w:val="right" w:leader="dot" w:pos="9072"/>
      </w:tabs>
      <w:ind w:left="357" w:hanging="357"/>
    </w:pPr>
    <w:rPr>
      <w:rFonts w:ascii="EY Gothic Cond Medium" w:hAnsi="EY Gothic Cond Medium"/>
      <w:sz w:val="28"/>
    </w:rPr>
  </w:style>
  <w:style w:type="paragraph" w:styleId="Spistreci2">
    <w:name w:val="toc 2"/>
    <w:basedOn w:val="Normalny"/>
    <w:next w:val="Normalny"/>
    <w:semiHidden/>
    <w:pPr>
      <w:tabs>
        <w:tab w:val="left" w:pos="709"/>
        <w:tab w:val="right" w:leader="dot" w:pos="9072"/>
      </w:tabs>
      <w:spacing w:before="80"/>
      <w:ind w:left="714" w:hanging="357"/>
    </w:pPr>
    <w:rPr>
      <w:rFonts w:ascii="EY Gothic Cond Medium" w:hAnsi="EY Gothic Cond Medium"/>
      <w:sz w:val="26"/>
    </w:rPr>
  </w:style>
  <w:style w:type="paragraph" w:styleId="Spistreci3">
    <w:name w:val="toc 3"/>
    <w:basedOn w:val="Normalny"/>
    <w:next w:val="Normalny"/>
    <w:semiHidden/>
    <w:pPr>
      <w:tabs>
        <w:tab w:val="left" w:pos="1208"/>
        <w:tab w:val="right" w:leader="dot" w:pos="9072"/>
      </w:tabs>
      <w:spacing w:before="60"/>
      <w:ind w:left="1208" w:hanging="499"/>
    </w:pPr>
    <w:rPr>
      <w:rFonts w:ascii="EY Gothic Cond Medium" w:hAnsi="EY Gothic Cond Medium"/>
    </w:rPr>
  </w:style>
  <w:style w:type="paragraph" w:styleId="Spistreci4">
    <w:name w:val="toc 4"/>
    <w:basedOn w:val="Normalny"/>
    <w:next w:val="Normalny"/>
    <w:semiHidden/>
    <w:pPr>
      <w:tabs>
        <w:tab w:val="left" w:pos="1775"/>
        <w:tab w:val="right" w:leader="dot" w:pos="9072"/>
      </w:tabs>
      <w:spacing w:before="40"/>
      <w:ind w:left="1775" w:hanging="567"/>
    </w:pPr>
    <w:rPr>
      <w:rFonts w:ascii="EY Gothic Cond Medium" w:hAnsi="EY Gothic Cond Medium"/>
    </w:rPr>
  </w:style>
  <w:style w:type="paragraph" w:styleId="Spistreci5">
    <w:name w:val="toc 5"/>
    <w:basedOn w:val="Normalny"/>
    <w:next w:val="Normalny"/>
    <w:semiHidden/>
    <w:pPr>
      <w:tabs>
        <w:tab w:val="left" w:pos="2410"/>
        <w:tab w:val="right" w:leader="dot" w:pos="9072"/>
      </w:tabs>
      <w:spacing w:before="20"/>
      <w:ind w:left="2416" w:hanging="641"/>
    </w:pPr>
    <w:rPr>
      <w:rFonts w:ascii="EY Gothic Cond Medium" w:hAnsi="EY Gothic Cond Medium"/>
      <w:sz w:val="20"/>
    </w:rPr>
  </w:style>
  <w:style w:type="paragraph" w:styleId="Akapitzlist">
    <w:name w:val="List Paragraph"/>
    <w:basedOn w:val="Normalny"/>
    <w:uiPriority w:val="34"/>
    <w:qFormat/>
    <w:rsid w:val="00B74C17"/>
    <w:pPr>
      <w:ind w:left="720"/>
      <w:contextualSpacing/>
    </w:pPr>
  </w:style>
  <w:style w:type="character" w:customStyle="1" w:styleId="st1">
    <w:name w:val="st1"/>
    <w:basedOn w:val="Domylnaczcionkaakapitu"/>
    <w:rsid w:val="00C15ED2"/>
  </w:style>
  <w:style w:type="character" w:customStyle="1" w:styleId="articletitle">
    <w:name w:val="articletitle"/>
    <w:basedOn w:val="Domylnaczcionkaakapitu"/>
    <w:rsid w:val="00C15ED2"/>
  </w:style>
  <w:style w:type="paragraph" w:styleId="Tekstdymka">
    <w:name w:val="Balloon Text"/>
    <w:basedOn w:val="Normalny"/>
    <w:link w:val="TekstdymkaZnak"/>
    <w:uiPriority w:val="99"/>
    <w:semiHidden/>
    <w:unhideWhenUsed/>
    <w:rsid w:val="00F13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54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gif@01D15E9C.6D398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Liptak</dc:creator>
  <cp:lastModifiedBy>Strząbała, Ewa</cp:lastModifiedBy>
  <cp:revision>2</cp:revision>
  <dcterms:created xsi:type="dcterms:W3CDTF">2016-03-29T11:20:00Z</dcterms:created>
  <dcterms:modified xsi:type="dcterms:W3CDTF">2016-03-29T11:20:00Z</dcterms:modified>
</cp:coreProperties>
</file>