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00" w:rsidRPr="00671CC1" w:rsidRDefault="00000586" w:rsidP="00353900">
      <w:pPr>
        <w:spacing w:line="360" w:lineRule="auto"/>
        <w:contextualSpacing/>
        <w:jc w:val="center"/>
        <w:rPr>
          <w:b/>
        </w:rPr>
      </w:pPr>
      <w:r w:rsidRPr="00671CC1">
        <w:rPr>
          <w:b/>
        </w:rPr>
        <w:t>Propozycja legislacyjna</w:t>
      </w:r>
    </w:p>
    <w:p w:rsidR="00353900" w:rsidRPr="00671CC1" w:rsidRDefault="00000586" w:rsidP="00353900">
      <w:pPr>
        <w:spacing w:line="360" w:lineRule="auto"/>
        <w:contextualSpacing/>
        <w:jc w:val="center"/>
        <w:rPr>
          <w:b/>
        </w:rPr>
      </w:pPr>
      <w:r w:rsidRPr="00671CC1">
        <w:rPr>
          <w:b/>
        </w:rPr>
        <w:t xml:space="preserve">Wojewódzkiej Rady Dialogu Społecznego </w:t>
      </w:r>
      <w:r w:rsidR="00580CE0">
        <w:rPr>
          <w:b/>
        </w:rPr>
        <w:t>w Kielcach</w:t>
      </w:r>
    </w:p>
    <w:p w:rsidR="00353900" w:rsidRPr="00671CC1" w:rsidRDefault="00000586" w:rsidP="00353900">
      <w:pPr>
        <w:spacing w:line="360" w:lineRule="auto"/>
        <w:contextualSpacing/>
        <w:jc w:val="center"/>
        <w:rPr>
          <w:b/>
        </w:rPr>
      </w:pPr>
      <w:r w:rsidRPr="00671CC1">
        <w:rPr>
          <w:b/>
        </w:rPr>
        <w:t>w zakresie</w:t>
      </w:r>
      <w:r w:rsidR="00353900" w:rsidRPr="00671CC1">
        <w:rPr>
          <w:b/>
        </w:rPr>
        <w:t>:</w:t>
      </w:r>
    </w:p>
    <w:p w:rsidR="00353900" w:rsidRPr="00671CC1" w:rsidRDefault="00353900" w:rsidP="00A65235">
      <w:pPr>
        <w:spacing w:line="360" w:lineRule="auto"/>
        <w:contextualSpacing/>
        <w:jc w:val="both"/>
        <w:rPr>
          <w:b/>
        </w:rPr>
      </w:pPr>
    </w:p>
    <w:p w:rsidR="00000586" w:rsidRPr="00671CC1" w:rsidRDefault="00000586" w:rsidP="00A65235">
      <w:pPr>
        <w:spacing w:line="360" w:lineRule="auto"/>
        <w:contextualSpacing/>
        <w:jc w:val="both"/>
        <w:rPr>
          <w:b/>
        </w:rPr>
      </w:pPr>
      <w:r w:rsidRPr="00671CC1">
        <w:rPr>
          <w:b/>
        </w:rPr>
        <w:t>zmiany ustawy o zasadach pokrywania kosztów powstałych u wytwórców w związku z przedterminowym rozwiązaniem umów długoterminowych sprzedaży mocy i energii elektrycznej</w:t>
      </w:r>
      <w:r w:rsidR="00671CC1" w:rsidRPr="00671CC1">
        <w:rPr>
          <w:b/>
        </w:rPr>
        <w:t>.</w:t>
      </w:r>
      <w:bookmarkStart w:id="0" w:name="_GoBack"/>
      <w:bookmarkEnd w:id="0"/>
    </w:p>
    <w:p w:rsidR="00000586" w:rsidRPr="00671CC1" w:rsidRDefault="00000586" w:rsidP="00A65235">
      <w:pPr>
        <w:spacing w:line="360" w:lineRule="auto"/>
        <w:contextualSpacing/>
        <w:jc w:val="both"/>
        <w:rPr>
          <w:b/>
        </w:rPr>
      </w:pPr>
    </w:p>
    <w:p w:rsidR="00F341C5" w:rsidRPr="00671CC1" w:rsidRDefault="00F341C5" w:rsidP="00F341C5">
      <w:pPr>
        <w:spacing w:line="360" w:lineRule="auto"/>
        <w:contextualSpacing/>
        <w:jc w:val="both"/>
        <w:rPr>
          <w:b/>
        </w:rPr>
      </w:pPr>
      <w:r w:rsidRPr="00671CC1">
        <w:rPr>
          <w:b/>
        </w:rPr>
        <w:t xml:space="preserve">1. Obecne brzmienie przepisów </w:t>
      </w:r>
      <w:r w:rsidR="00671CC1" w:rsidRPr="00671CC1">
        <w:rPr>
          <w:b/>
        </w:rPr>
        <w:t>ustawy o zasadach pokrywania kosztów powstałych u wytwórców w związku z przedterminowym rozwiązaniem umów długoterminowych sprzedaży mocy i energii elektrycznej</w:t>
      </w:r>
    </w:p>
    <w:p w:rsidR="00F341C5" w:rsidRPr="00671CC1" w:rsidRDefault="00F341C5" w:rsidP="00F341C5">
      <w:pPr>
        <w:spacing w:line="360" w:lineRule="auto"/>
        <w:contextualSpacing/>
        <w:jc w:val="both"/>
        <w:rPr>
          <w:b/>
        </w:rPr>
      </w:pPr>
    </w:p>
    <w:p w:rsidR="00F341C5" w:rsidRPr="00671CC1" w:rsidRDefault="00671CC1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671CC1">
        <w:rPr>
          <w:bCs/>
        </w:rPr>
        <w:t xml:space="preserve">1) </w:t>
      </w:r>
      <w:r w:rsidR="00F341C5" w:rsidRPr="00671CC1">
        <w:rPr>
          <w:bCs/>
        </w:rPr>
        <w:t xml:space="preserve">Art. 10 ust. 1 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5" w:hanging="705"/>
        <w:contextualSpacing/>
        <w:jc w:val="both"/>
        <w:rPr>
          <w:bCs/>
        </w:rPr>
      </w:pPr>
      <w:r w:rsidRPr="00671CC1">
        <w:rPr>
          <w:rFonts w:eastAsia="Univers-PL"/>
        </w:rPr>
        <w:t>1. Stawki opłaty przejściowej kalkuluje się odrębnie w odniesieniu do odbiorców końcowych: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</w:rPr>
      </w:pPr>
      <w:r w:rsidRPr="00671CC1">
        <w:rPr>
          <w:bCs/>
        </w:rPr>
        <w:t>1) pobierających energię elektryczną w gospodarstwie domowym, zużywających rocznie: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a)  poniżej 500 kWh energii elektrycznej,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b)  od 500 kWh do 1.200 kWh energii elektrycznej,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c)  powyżej 1.200 kWh energii elektrycznej;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</w:rPr>
      </w:pPr>
      <w:r w:rsidRPr="00671CC1">
        <w:rPr>
          <w:bCs/>
        </w:rPr>
        <w:t>2) niewymienionych w pkt 1, których instalacje są przyłączone do sieci elektroenergetycznej: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a)  niskiego napięcia,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b)  średniego napięcia,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ind w:left="709" w:firstLine="709"/>
        <w:contextualSpacing/>
        <w:jc w:val="both"/>
        <w:rPr>
          <w:bCs/>
        </w:rPr>
      </w:pPr>
      <w:r w:rsidRPr="00671CC1">
        <w:rPr>
          <w:bCs/>
        </w:rPr>
        <w:t>c)  wysokich i najwyższych napięć;</w:t>
      </w:r>
    </w:p>
    <w:p w:rsidR="00F341C5" w:rsidRPr="00671CC1" w:rsidRDefault="00F341C5" w:rsidP="00671CC1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</w:rPr>
      </w:pPr>
      <w:r w:rsidRPr="00671CC1">
        <w:rPr>
          <w:bCs/>
        </w:rPr>
        <w:t xml:space="preserve">3) których instalacje są przyłączone do sieci elektroenergetycznej wysokich i najwyższych napięć i którzy w roku kalendarzowym poprzedzającym o rok dany rok kalendarzowy, w którym są stosowane stawki opłaty przejściowej, zużyli nie mniej niż 400 </w:t>
      </w:r>
      <w:proofErr w:type="spellStart"/>
      <w:r w:rsidRPr="00671CC1">
        <w:rPr>
          <w:bCs/>
        </w:rPr>
        <w:t>GWh</w:t>
      </w:r>
      <w:proofErr w:type="spellEnd"/>
      <w:r w:rsidRPr="00671CC1">
        <w:rPr>
          <w:bCs/>
        </w:rPr>
        <w:t xml:space="preserve"> energii elektrycznej z wykorzystaniem nie mniej niż 60% mocy umownej, dla których koszt energii elektrycznej stanowi nie mniej niż 15% wartości ich produkcji.</w:t>
      </w:r>
    </w:p>
    <w:p w:rsidR="00F341C5" w:rsidRPr="00671CC1" w:rsidRDefault="00F341C5" w:rsidP="00A65235">
      <w:pPr>
        <w:spacing w:line="360" w:lineRule="auto"/>
        <w:contextualSpacing/>
        <w:jc w:val="both"/>
        <w:rPr>
          <w:b/>
        </w:rPr>
      </w:pPr>
    </w:p>
    <w:p w:rsidR="00F341C5" w:rsidRPr="00671CC1" w:rsidRDefault="00F341C5" w:rsidP="00A65235">
      <w:pPr>
        <w:spacing w:line="360" w:lineRule="auto"/>
        <w:contextualSpacing/>
        <w:jc w:val="both"/>
        <w:rPr>
          <w:b/>
        </w:rPr>
      </w:pPr>
    </w:p>
    <w:p w:rsidR="00D36BCA" w:rsidRPr="00671CC1" w:rsidRDefault="00D36BCA" w:rsidP="00A65235">
      <w:pPr>
        <w:spacing w:line="360" w:lineRule="auto"/>
        <w:contextualSpacing/>
        <w:jc w:val="both"/>
        <w:rPr>
          <w:b/>
        </w:rPr>
      </w:pPr>
    </w:p>
    <w:p w:rsidR="00A65235" w:rsidRPr="00671CC1" w:rsidRDefault="00A65235" w:rsidP="00A65235">
      <w:pPr>
        <w:spacing w:line="360" w:lineRule="auto"/>
        <w:contextualSpacing/>
        <w:rPr>
          <w:b/>
        </w:rPr>
      </w:pPr>
      <w:r w:rsidRPr="00671CC1">
        <w:rPr>
          <w:b/>
        </w:rPr>
        <w:t>2. Proponowane brzmienie zmian legislacyjnych</w:t>
      </w:r>
    </w:p>
    <w:p w:rsidR="00A65235" w:rsidRPr="00671CC1" w:rsidRDefault="00A65235" w:rsidP="00A65235">
      <w:pPr>
        <w:spacing w:line="360" w:lineRule="auto"/>
        <w:contextualSpacing/>
        <w:jc w:val="both"/>
        <w:rPr>
          <w:b/>
        </w:rPr>
      </w:pPr>
    </w:p>
    <w:p w:rsidR="00A65235" w:rsidRPr="00671CC1" w:rsidRDefault="0002514B" w:rsidP="00A65235">
      <w:pPr>
        <w:pStyle w:val="Tekstpodstawowy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W ustawie z dnia 29 czerwca 2007 r. o zasadach pokrywania kosztów powstałych u wytwórców w związku z przedterminowym rozwiązaniem umów długoterminowych sprzedaży mocy i energii elektrycznej art. 10 ust. 1 otrzymuje brzmienie:</w:t>
      </w:r>
    </w:p>
    <w:p w:rsidR="00A65235" w:rsidRPr="00671CC1" w:rsidRDefault="00A65235" w:rsidP="00A65235">
      <w:pPr>
        <w:pStyle w:val="Tekstpodstawowy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14B" w:rsidRPr="00671CC1" w:rsidRDefault="0002514B" w:rsidP="00A6523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  <w:r w:rsidRPr="00671CC1">
        <w:rPr>
          <w:b/>
          <w:bCs/>
        </w:rPr>
        <w:t>„</w:t>
      </w:r>
      <w:r w:rsidRPr="00671CC1">
        <w:rPr>
          <w:rFonts w:eastAsia="Univers-PL"/>
        </w:rPr>
        <w:t>1. Stawki opłaty przejściowej kalkuluje się odrębnie w odniesieniu do odbiorców końcowych:</w:t>
      </w:r>
    </w:p>
    <w:p w:rsidR="0002514B" w:rsidRPr="00671CC1" w:rsidRDefault="0002514B" w:rsidP="00A652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pobierających energię elektryczna w gospodarstwie domowym, zużywających rocznie:</w:t>
      </w:r>
    </w:p>
    <w:p w:rsidR="0002514B" w:rsidRPr="00671CC1" w:rsidRDefault="0002514B" w:rsidP="00A6523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a) poniżej 500 kWh energii elektrycznej,</w:t>
      </w:r>
    </w:p>
    <w:p w:rsidR="0002514B" w:rsidRPr="00671CC1" w:rsidRDefault="0002514B" w:rsidP="00A6523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b) od 500 kWh do 1</w:t>
      </w:r>
      <w:r w:rsidR="00671CC1" w:rsidRPr="00671CC1">
        <w:rPr>
          <w:rFonts w:ascii="Times New Roman" w:eastAsia="Univers-PL" w:hAnsi="Times New Roman" w:cs="Times New Roman"/>
          <w:sz w:val="24"/>
          <w:szCs w:val="24"/>
        </w:rPr>
        <w:t>.</w:t>
      </w:r>
      <w:r w:rsidRPr="00671CC1">
        <w:rPr>
          <w:rFonts w:ascii="Times New Roman" w:eastAsia="Univers-PL" w:hAnsi="Times New Roman" w:cs="Times New Roman"/>
          <w:sz w:val="24"/>
          <w:szCs w:val="24"/>
        </w:rPr>
        <w:t>200 kWh energii elektrycznej,</w:t>
      </w:r>
    </w:p>
    <w:p w:rsidR="0002514B" w:rsidRPr="00671CC1" w:rsidRDefault="0002514B" w:rsidP="00A6523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c) powyżej 1</w:t>
      </w:r>
      <w:r w:rsidR="00671CC1" w:rsidRPr="00671CC1">
        <w:rPr>
          <w:rFonts w:ascii="Times New Roman" w:eastAsia="Univers-PL" w:hAnsi="Times New Roman" w:cs="Times New Roman"/>
          <w:sz w:val="24"/>
          <w:szCs w:val="24"/>
        </w:rPr>
        <w:t>.</w:t>
      </w:r>
      <w:r w:rsidRPr="00671CC1">
        <w:rPr>
          <w:rFonts w:ascii="Times New Roman" w:eastAsia="Univers-PL" w:hAnsi="Times New Roman" w:cs="Times New Roman"/>
          <w:sz w:val="24"/>
          <w:szCs w:val="24"/>
        </w:rPr>
        <w:t>200 kWh energii elektrycznej;</w:t>
      </w:r>
    </w:p>
    <w:p w:rsidR="0002514B" w:rsidRPr="00671CC1" w:rsidRDefault="0002514B" w:rsidP="00A6523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Univers-PL" w:hAnsi="Times New Roman" w:cs="Times New Roman"/>
          <w:sz w:val="24"/>
          <w:szCs w:val="24"/>
        </w:rPr>
      </w:pPr>
    </w:p>
    <w:p w:rsidR="0002514B" w:rsidRPr="00671CC1" w:rsidRDefault="0002514B" w:rsidP="00A652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niewymienionych w pkt 1, których instalacje są przyłączone do sieci elektroenergetycznej:</w:t>
      </w:r>
    </w:p>
    <w:p w:rsidR="0002514B" w:rsidRPr="00671CC1" w:rsidRDefault="0002514B" w:rsidP="00A652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niskiego napięcia,</w:t>
      </w:r>
    </w:p>
    <w:p w:rsidR="0002514B" w:rsidRPr="00671CC1" w:rsidRDefault="0002514B" w:rsidP="00A652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średniego napięcia,</w:t>
      </w:r>
    </w:p>
    <w:p w:rsidR="0002514B" w:rsidRPr="00671CC1" w:rsidRDefault="0002514B" w:rsidP="00A652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Univers-PL" w:hAnsi="Times New Roman" w:cs="Times New Roman"/>
          <w:sz w:val="24"/>
          <w:szCs w:val="24"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>wysokich i najwyższych napięć;</w:t>
      </w:r>
    </w:p>
    <w:p w:rsidR="0002514B" w:rsidRPr="00671CC1" w:rsidRDefault="0002514B" w:rsidP="00A6523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</w:p>
    <w:p w:rsidR="00F341C5" w:rsidRPr="00671CC1" w:rsidRDefault="0002514B" w:rsidP="00671C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CC1">
        <w:rPr>
          <w:rFonts w:ascii="Times New Roman" w:eastAsia="Univers-PL" w:hAnsi="Times New Roman" w:cs="Times New Roman"/>
          <w:sz w:val="24"/>
          <w:szCs w:val="24"/>
        </w:rPr>
        <w:t xml:space="preserve">których instalacje są przyłączone do sieci elektroenergetycznej wysokich i najwyższych napięć i którzy w roku kalendarzowym poprzedzającym dany rok kalendarzowy, w którym są stosowane stawki opłaty przejściowej, zużyli nie mniej niż </w:t>
      </w:r>
      <w:r w:rsidRPr="00671CC1">
        <w:rPr>
          <w:rFonts w:ascii="Times New Roman" w:eastAsia="Univers-PL" w:hAnsi="Times New Roman" w:cs="Times New Roman"/>
          <w:b/>
          <w:sz w:val="24"/>
          <w:szCs w:val="24"/>
        </w:rPr>
        <w:t xml:space="preserve">100 </w:t>
      </w:r>
      <w:proofErr w:type="spellStart"/>
      <w:r w:rsidRPr="00671CC1">
        <w:rPr>
          <w:rFonts w:ascii="Times New Roman" w:eastAsia="Univers-PL" w:hAnsi="Times New Roman" w:cs="Times New Roman"/>
          <w:b/>
          <w:sz w:val="24"/>
          <w:szCs w:val="24"/>
        </w:rPr>
        <w:t>GWh</w:t>
      </w:r>
      <w:proofErr w:type="spellEnd"/>
      <w:r w:rsidRPr="00671CC1">
        <w:rPr>
          <w:rFonts w:ascii="Times New Roman" w:eastAsia="Univers-PL" w:hAnsi="Times New Roman" w:cs="Times New Roman"/>
          <w:sz w:val="24"/>
          <w:szCs w:val="24"/>
        </w:rPr>
        <w:t xml:space="preserve"> energii elektrycznej </w:t>
      </w:r>
      <w:r w:rsidR="007E32E0" w:rsidRPr="00671CC1">
        <w:rPr>
          <w:rFonts w:ascii="Times New Roman" w:eastAsia="Univers-PL" w:hAnsi="Times New Roman" w:cs="Times New Roman"/>
          <w:sz w:val="24"/>
          <w:szCs w:val="24"/>
        </w:rPr>
        <w:t xml:space="preserve">z wykorzystaniem nie mniej niż </w:t>
      </w:r>
      <w:r w:rsidR="00AB4324" w:rsidRPr="00671CC1">
        <w:rPr>
          <w:rFonts w:ascii="Times New Roman" w:eastAsia="Univers-PL" w:hAnsi="Times New Roman" w:cs="Times New Roman"/>
          <w:b/>
          <w:sz w:val="24"/>
          <w:szCs w:val="24"/>
        </w:rPr>
        <w:t>4</w:t>
      </w:r>
      <w:r w:rsidRPr="00671CC1">
        <w:rPr>
          <w:rFonts w:ascii="Times New Roman" w:eastAsia="Univers-PL" w:hAnsi="Times New Roman" w:cs="Times New Roman"/>
          <w:b/>
          <w:sz w:val="24"/>
          <w:szCs w:val="24"/>
        </w:rPr>
        <w:t>0% mocy umownej</w:t>
      </w:r>
      <w:r w:rsidRPr="00671CC1">
        <w:rPr>
          <w:rFonts w:ascii="Times New Roman" w:eastAsia="Univers-PL" w:hAnsi="Times New Roman" w:cs="Times New Roman"/>
          <w:sz w:val="24"/>
          <w:szCs w:val="24"/>
        </w:rPr>
        <w:t xml:space="preserve">, dla których koszt energii elektrycznej stanowi nie mniej niż </w:t>
      </w:r>
      <w:r w:rsidRPr="00671CC1">
        <w:rPr>
          <w:rFonts w:ascii="Times New Roman" w:eastAsia="Univers-PL" w:hAnsi="Times New Roman" w:cs="Times New Roman"/>
          <w:b/>
          <w:sz w:val="24"/>
          <w:szCs w:val="24"/>
        </w:rPr>
        <w:t>3%</w:t>
      </w:r>
      <w:r w:rsidRPr="00671CC1">
        <w:rPr>
          <w:rFonts w:ascii="Times New Roman" w:eastAsia="Univers-PL" w:hAnsi="Times New Roman" w:cs="Times New Roman"/>
          <w:sz w:val="24"/>
          <w:szCs w:val="24"/>
        </w:rPr>
        <w:t xml:space="preserve"> wartości ich produkcji </w:t>
      </w:r>
      <w:r w:rsidRPr="00671CC1">
        <w:rPr>
          <w:rFonts w:ascii="Times New Roman" w:hAnsi="Times New Roman" w:cs="Times New Roman"/>
          <w:b/>
          <w:sz w:val="24"/>
          <w:szCs w:val="24"/>
        </w:rPr>
        <w:t xml:space="preserve">i których przeważającą działalnością gospodarczą jest działalność określona w Polskiej Klasyfikacji Działalności (PKD) i oznaczona następującymi kodami: 0510; 0729; 0811; 0891; 0893; 0899; 1032; 1039; 1041; 1062; 1104; 1106; 1310; 1320; 1394; 1395; 1411; 1610; 1621; 1711; 1712; 1722; 1920; 2012; 2013; 2014; 2015; 2016; 2017; 2060; 2110; 2221; 2222; 2311; 2312; 2313; 2314; 2319; 2320; 2331; 2342; 2343; 2349; 2399; 2410; 2420; 2431; 2432; 2434; 2441; </w:t>
      </w:r>
      <w:r w:rsidRPr="00671CC1">
        <w:rPr>
          <w:rFonts w:ascii="Times New Roman" w:hAnsi="Times New Roman" w:cs="Times New Roman"/>
          <w:b/>
          <w:sz w:val="24"/>
          <w:szCs w:val="24"/>
        </w:rPr>
        <w:lastRenderedPageBreak/>
        <w:t>2442; 2443; 2444; 2445; 2446; 2720; 3299; 2011; 2332; 2351; 2352; 2451; 2452; 2453; 2454; 2611; 2680; 3832</w:t>
      </w:r>
      <w:r w:rsidRPr="00671CC1">
        <w:rPr>
          <w:rFonts w:ascii="Times New Roman" w:eastAsia="Univers-PL" w:hAnsi="Times New Roman" w:cs="Times New Roman"/>
          <w:sz w:val="24"/>
          <w:szCs w:val="24"/>
        </w:rPr>
        <w:t>”.</w:t>
      </w:r>
    </w:p>
    <w:p w:rsidR="00A01FC6" w:rsidRPr="00671CC1" w:rsidRDefault="00A01FC6" w:rsidP="00F341C5">
      <w:pPr>
        <w:spacing w:line="360" w:lineRule="auto"/>
        <w:contextualSpacing/>
        <w:jc w:val="both"/>
        <w:rPr>
          <w:b/>
        </w:rPr>
      </w:pPr>
    </w:p>
    <w:p w:rsidR="00671CC1" w:rsidRPr="00671CC1" w:rsidRDefault="00671CC1" w:rsidP="00F341C5">
      <w:pPr>
        <w:spacing w:line="360" w:lineRule="auto"/>
        <w:contextualSpacing/>
        <w:jc w:val="both"/>
        <w:rPr>
          <w:b/>
        </w:rPr>
      </w:pPr>
    </w:p>
    <w:p w:rsidR="00F341C5" w:rsidRPr="00671CC1" w:rsidRDefault="00F341C5" w:rsidP="00F341C5">
      <w:pPr>
        <w:spacing w:line="360" w:lineRule="auto"/>
        <w:contextualSpacing/>
        <w:jc w:val="both"/>
        <w:rPr>
          <w:b/>
        </w:rPr>
      </w:pPr>
      <w:r w:rsidRPr="00671CC1">
        <w:rPr>
          <w:b/>
        </w:rPr>
        <w:t>3. Uzasadnienie proponowanych zmian legislacyjnych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</w:pP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</w:pPr>
      <w:r w:rsidRPr="00671CC1">
        <w:t>Opłata przejściowa jest jednym ze składników kosztów sieci wynikających z pokrywania przez odbiorców energii tzw. kosztów osieroconych powstałych w związku z rozwiązaniem kontraktów długoterminowych w elektroenergetyce. Opłata ta przestanie być pobierana dopiero w 2027 r. Poziom opłaty przejściowej ma charakter zmienny i jest corocznie ustalany przez Prezesa Urzędu Regulacji Energetyki.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</w:pP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  <w:r w:rsidRPr="00671CC1">
        <w:t>Ustawa o</w:t>
      </w:r>
      <w:r w:rsidRPr="00671CC1">
        <w:rPr>
          <w:b/>
        </w:rPr>
        <w:t xml:space="preserve"> </w:t>
      </w:r>
      <w:r w:rsidRPr="00671CC1">
        <w:t xml:space="preserve">zasadach pokrywania kosztów powstałych u wytwórców w związku z przedterminowym rozwiązaniem umów długoterminowych sprzedaży mocy i energii elektrycznej przewiduje zasadę odrębnej kalkulacji stawek opłaty przejściowej w stosunku do różnych grup odbiorców. Grupą wyróżnioną w odniesieniu do której poziom tej opłaty naliczany jest zgodnie z ustawą i dotychczasową praktyką administracyjną Prezesa URE jest grupa odbiorców, </w:t>
      </w:r>
      <w:r w:rsidRPr="00671CC1">
        <w:rPr>
          <w:rFonts w:eastAsia="Univers-PL"/>
        </w:rPr>
        <w:t xml:space="preserve">których instalacje są przyłączone do sieci elektroenergetycznej wysokich i najwyższych napięć i którzy w roku kalendarzowym poprzedzającym dany rok kalendarzowy, w którym są stosowane stawki opłaty przejściowej, zużyli nie mniej niż 400 </w:t>
      </w:r>
      <w:proofErr w:type="spellStart"/>
      <w:r w:rsidRPr="00671CC1">
        <w:rPr>
          <w:rFonts w:eastAsia="Univers-PL"/>
        </w:rPr>
        <w:t>GWh</w:t>
      </w:r>
      <w:proofErr w:type="spellEnd"/>
      <w:r w:rsidRPr="00671CC1">
        <w:rPr>
          <w:rFonts w:eastAsia="Univers-PL"/>
        </w:rPr>
        <w:t xml:space="preserve"> energii elektrycznej z wykorzystaniem nie mniej niż 60% mocy umownej, dla których koszt energii elektrycznej stanowi nie mniej niż 15% wartości ich produkcji.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  <w:r w:rsidRPr="00671CC1">
        <w:rPr>
          <w:rFonts w:eastAsia="Univers-PL"/>
        </w:rPr>
        <w:t xml:space="preserve">W ocenie branży metalurgicznej, uregulowanie takie prowadzi do nieuzasadnionego zróżnicowania pozycji konkurencyjnej podmiotów funkcjonujących w danym sektorze przemysłu. Grupa przedsiębiorstw spełniających powyższe warunki i korzystających z przewidzianego prawem uprzywilejowania nie obejmuje znacznej liczby przedstawicieli najbardziej energochłonnych branż polskiego przemysłu. </w:t>
      </w: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Univers-PL"/>
        </w:rPr>
      </w:pPr>
    </w:p>
    <w:p w:rsidR="00F341C5" w:rsidRPr="00671CC1" w:rsidRDefault="00F341C5" w:rsidP="00F341C5">
      <w:pPr>
        <w:autoSpaceDE w:val="0"/>
        <w:autoSpaceDN w:val="0"/>
        <w:adjustRightInd w:val="0"/>
        <w:spacing w:line="360" w:lineRule="auto"/>
        <w:contextualSpacing/>
        <w:jc w:val="both"/>
      </w:pPr>
      <w:r w:rsidRPr="00671CC1">
        <w:rPr>
          <w:rFonts w:eastAsia="Univers-PL"/>
        </w:rPr>
        <w:t xml:space="preserve">Obniżenie tego progu umożliwi korzystanie z przedmiotowej ulgi grupie najbardziej energochłonnych przedsiębiorstw i zniwelowanie niekorzystnego skutku dla konkurencji. Ze względu na ograniczoną liczbę podmiotów zużywających więcej niż 100 </w:t>
      </w:r>
      <w:proofErr w:type="spellStart"/>
      <w:r w:rsidRPr="00671CC1">
        <w:rPr>
          <w:rFonts w:eastAsia="Univers-PL"/>
        </w:rPr>
        <w:t>GWh</w:t>
      </w:r>
      <w:proofErr w:type="spellEnd"/>
      <w:r w:rsidRPr="00671CC1">
        <w:rPr>
          <w:rFonts w:eastAsia="Univers-PL"/>
        </w:rPr>
        <w:t xml:space="preserve"> energii elektrycznej rocznie oraz wykonujących przeważającą działalność gospodarczą w określoną </w:t>
      </w:r>
      <w:r w:rsidRPr="00671CC1">
        <w:rPr>
          <w:rFonts w:eastAsia="Univers-PL"/>
        </w:rPr>
        <w:lastRenderedPageBreak/>
        <w:t>wskazanymi kodami PKD, przedmiotową ulgę będzie można stosować z pominięciem przerzucania kosztów na odbiorców w gospodarstwach domowych, a jednostkowy koszt dla pozostałych odbiorców biznesowych nie przekroczy kilkunastu groszy. Warto wskazać, że kryterium parametryzacji pod kątem profilu wykonywanej działalności gospodarczej stosowane jest do wyodrębnienia podmiotów z najbardziej energochłonnych branż polskiego przemysłu również w innych aktach prawnych, w tym w szczególności w ustawie z dnia 20 lutego 2015 r. – o odnawialnych źródłach energii (Dz. U. poz. 478) oraz ustawie z dnia 24 lipca 2015 r. – o zmianie ustawy o podatku akcyzowym oraz niektórych innych ustaw (Dz. U. poz. 1479).</w:t>
      </w:r>
    </w:p>
    <w:p w:rsidR="00F341C5" w:rsidRPr="00671CC1" w:rsidRDefault="00F341C5" w:rsidP="00A65235">
      <w:pPr>
        <w:spacing w:line="360" w:lineRule="auto"/>
        <w:contextualSpacing/>
        <w:jc w:val="both"/>
        <w:rPr>
          <w:b/>
        </w:rPr>
      </w:pPr>
    </w:p>
    <w:sectPr w:rsidR="00F341C5" w:rsidRPr="0067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Y Gothic Cond Medium">
    <w:altName w:val="Franklin Gothic Medium Cond"/>
    <w:charset w:val="00"/>
    <w:family w:val="auto"/>
    <w:pitch w:val="variable"/>
    <w:sig w:usb0="00000001" w:usb1="0000004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3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7EF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884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9E9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4B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85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683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83F26"/>
    <w:lvl w:ilvl="0">
      <w:start w:val="1"/>
      <w:numFmt w:val="bullet"/>
      <w:pStyle w:val="Listapunktowana2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FFFFFF88"/>
    <w:multiLevelType w:val="singleLevel"/>
    <w:tmpl w:val="A4780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AA148A"/>
    <w:lvl w:ilvl="0">
      <w:start w:val="1"/>
      <w:numFmt w:val="bullet"/>
      <w:pStyle w:val="Listapunktowana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/>
        <w:sz w:val="20"/>
      </w:rPr>
    </w:lvl>
  </w:abstractNum>
  <w:abstractNum w:abstractNumId="10">
    <w:nsid w:val="0749214B"/>
    <w:multiLevelType w:val="multilevel"/>
    <w:tmpl w:val="F35A55EE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1">
    <w:nsid w:val="167F3C51"/>
    <w:multiLevelType w:val="multilevel"/>
    <w:tmpl w:val="A46C679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2">
    <w:nsid w:val="19E343C6"/>
    <w:multiLevelType w:val="hybridMultilevel"/>
    <w:tmpl w:val="2D5C9030"/>
    <w:lvl w:ilvl="0" w:tplc="597A30E6">
      <w:start w:val="1"/>
      <w:numFmt w:val="lowerLetter"/>
      <w:lvlText w:val="(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D055B"/>
    <w:multiLevelType w:val="hybridMultilevel"/>
    <w:tmpl w:val="1BBA263E"/>
    <w:lvl w:ilvl="0" w:tplc="6BB225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8C199A"/>
    <w:multiLevelType w:val="multilevel"/>
    <w:tmpl w:val="13F4F18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5">
    <w:nsid w:val="2D91411A"/>
    <w:multiLevelType w:val="hybridMultilevel"/>
    <w:tmpl w:val="2D5C9030"/>
    <w:lvl w:ilvl="0" w:tplc="597A30E6">
      <w:start w:val="1"/>
      <w:numFmt w:val="lowerLetter"/>
      <w:lvlText w:val="(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10CE3"/>
    <w:multiLevelType w:val="hybridMultilevel"/>
    <w:tmpl w:val="E2C8D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5DD7"/>
    <w:multiLevelType w:val="hybridMultilevel"/>
    <w:tmpl w:val="F7645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E3BA8"/>
    <w:multiLevelType w:val="multilevel"/>
    <w:tmpl w:val="A2D2FA3A"/>
    <w:lvl w:ilvl="0">
      <w:start w:val="1"/>
      <w:numFmt w:val="upperRoman"/>
      <w:pStyle w:val="Nagwek1"/>
      <w:lvlText w:val="%1."/>
      <w:lvlJc w:val="left"/>
      <w:pPr>
        <w:tabs>
          <w:tab w:val="num" w:pos="-288"/>
        </w:tabs>
        <w:ind w:left="-1008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648"/>
        </w:tabs>
        <w:ind w:left="-1008" w:firstLine="0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781"/>
        </w:tabs>
        <w:ind w:left="-299" w:firstLine="0"/>
      </w:pPr>
      <w:rPr>
        <w:rFonts w:hint="default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141"/>
        </w:tabs>
        <w:ind w:left="-1008" w:firstLine="709"/>
      </w:pPr>
      <w:rPr>
        <w:rFonts w:hint="default"/>
        <w:b/>
        <w:i w:val="0"/>
      </w:rPr>
    </w:lvl>
    <w:lvl w:ilvl="5">
      <w:start w:val="1"/>
      <w:numFmt w:val="upperLetter"/>
      <w:pStyle w:val="Nagwek6"/>
      <w:lvlText w:val="%6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>
    <w:nsid w:val="7B123C63"/>
    <w:multiLevelType w:val="hybridMultilevel"/>
    <w:tmpl w:val="FF3C4D24"/>
    <w:lvl w:ilvl="0" w:tplc="CD48CDF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8"/>
  </w:num>
  <w:num w:numId="16">
    <w:abstractNumId w:val="12"/>
  </w:num>
  <w:num w:numId="17">
    <w:abstractNumId w:val="15"/>
  </w:num>
  <w:num w:numId="18">
    <w:abstractNumId w:val="1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86"/>
    <w:rsid w:val="00000586"/>
    <w:rsid w:val="0002514B"/>
    <w:rsid w:val="000C7EF0"/>
    <w:rsid w:val="00174276"/>
    <w:rsid w:val="00353900"/>
    <w:rsid w:val="004027C8"/>
    <w:rsid w:val="00493525"/>
    <w:rsid w:val="00580CE0"/>
    <w:rsid w:val="006261EC"/>
    <w:rsid w:val="00671CC1"/>
    <w:rsid w:val="006E2373"/>
    <w:rsid w:val="007E32E0"/>
    <w:rsid w:val="00921819"/>
    <w:rsid w:val="00A01FC6"/>
    <w:rsid w:val="00A24D7E"/>
    <w:rsid w:val="00A65235"/>
    <w:rsid w:val="00AB4324"/>
    <w:rsid w:val="00B524D0"/>
    <w:rsid w:val="00D36BCA"/>
    <w:rsid w:val="00F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5"/>
      </w:numPr>
      <w:spacing w:before="240" w:after="360"/>
      <w:outlineLvl w:val="0"/>
    </w:pPr>
    <w:rPr>
      <w:rFonts w:ascii="EY Gothic Cond Medium" w:hAnsi="EY Gothic Cond Medium" w:cs="Arial"/>
      <w:b/>
      <w:bCs/>
      <w:sz w:val="4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5"/>
      </w:numPr>
      <w:spacing w:before="240" w:after="360"/>
      <w:outlineLvl w:val="1"/>
    </w:pPr>
    <w:rPr>
      <w:rFonts w:ascii="EY Gothic Cond Medium" w:hAnsi="EY Gothic Cond Medium" w:cs="Arial"/>
      <w:bCs/>
      <w:i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5"/>
      </w:numPr>
      <w:spacing w:before="240" w:after="360"/>
      <w:outlineLvl w:val="2"/>
    </w:pPr>
    <w:rPr>
      <w:rFonts w:ascii="EY Gothic Cond Medium" w:hAnsi="EY Gothic Cond Medium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5"/>
      </w:numPr>
      <w:spacing w:before="240" w:after="240"/>
      <w:outlineLvl w:val="3"/>
    </w:pPr>
    <w:rPr>
      <w:rFonts w:ascii="EY Gothic Cond Medium" w:hAnsi="EY Gothic Cond Medium"/>
      <w:bCs/>
      <w:sz w:val="26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5"/>
      </w:numPr>
      <w:spacing w:before="240" w:after="24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5"/>
      </w:numPr>
      <w:tabs>
        <w:tab w:val="left" w:pos="1208"/>
      </w:tabs>
      <w:spacing w:after="120"/>
      <w:outlineLvl w:val="5"/>
    </w:pPr>
    <w:rPr>
      <w:bCs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5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5"/>
      </w:numPr>
      <w:spacing w:before="6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5"/>
      </w:numPr>
      <w:spacing w:before="60"/>
      <w:outlineLvl w:val="8"/>
    </w:pPr>
    <w:rPr>
      <w:rFonts w:cs="Arial"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semiHidden/>
    <w:pPr>
      <w:numPr>
        <w:numId w:val="3"/>
      </w:numPr>
      <w:jc w:val="both"/>
    </w:pPr>
  </w:style>
  <w:style w:type="paragraph" w:styleId="Listapunktowana2">
    <w:name w:val="List Bullet 2"/>
    <w:basedOn w:val="Normalny"/>
    <w:semiHidden/>
    <w:pPr>
      <w:numPr>
        <w:numId w:val="4"/>
      </w:numPr>
      <w:jc w:val="both"/>
    </w:pPr>
  </w:style>
  <w:style w:type="paragraph" w:styleId="Nagwekwykazurde">
    <w:name w:val="toa heading"/>
    <w:basedOn w:val="Normalny"/>
    <w:next w:val="Normalny"/>
    <w:semiHidden/>
    <w:pPr>
      <w:spacing w:after="1320"/>
    </w:pPr>
    <w:rPr>
      <w:rFonts w:ascii="EY Gothic Cond Medium" w:hAnsi="EY Gothic Cond Medium" w:cs="Arial"/>
      <w:bCs/>
      <w:sz w:val="60"/>
    </w:rPr>
  </w:style>
  <w:style w:type="paragraph" w:styleId="Spistreci1">
    <w:name w:val="toc 1"/>
    <w:basedOn w:val="Normalny"/>
    <w:next w:val="Normalny"/>
    <w:semiHidden/>
    <w:pPr>
      <w:tabs>
        <w:tab w:val="left" w:pos="357"/>
        <w:tab w:val="right" w:leader="dot" w:pos="9072"/>
      </w:tabs>
      <w:ind w:left="357" w:hanging="357"/>
    </w:pPr>
    <w:rPr>
      <w:rFonts w:ascii="EY Gothic Cond Medium" w:hAnsi="EY Gothic Cond Medium"/>
      <w:sz w:val="28"/>
    </w:rPr>
  </w:style>
  <w:style w:type="paragraph" w:styleId="Spistreci2">
    <w:name w:val="toc 2"/>
    <w:basedOn w:val="Normalny"/>
    <w:next w:val="Normalny"/>
    <w:semiHidden/>
    <w:pPr>
      <w:tabs>
        <w:tab w:val="left" w:pos="709"/>
        <w:tab w:val="right" w:leader="dot" w:pos="9072"/>
      </w:tabs>
      <w:spacing w:before="80"/>
      <w:ind w:left="714" w:hanging="357"/>
    </w:pPr>
    <w:rPr>
      <w:rFonts w:ascii="EY Gothic Cond Medium" w:hAnsi="EY Gothic Cond Medium"/>
      <w:sz w:val="26"/>
    </w:rPr>
  </w:style>
  <w:style w:type="paragraph" w:styleId="Spistreci3">
    <w:name w:val="toc 3"/>
    <w:basedOn w:val="Normalny"/>
    <w:next w:val="Normalny"/>
    <w:semiHidden/>
    <w:pPr>
      <w:tabs>
        <w:tab w:val="left" w:pos="1208"/>
        <w:tab w:val="right" w:leader="dot" w:pos="9072"/>
      </w:tabs>
      <w:spacing w:before="60"/>
      <w:ind w:left="1208" w:hanging="499"/>
    </w:pPr>
    <w:rPr>
      <w:rFonts w:ascii="EY Gothic Cond Medium" w:hAnsi="EY Gothic Cond Medium"/>
    </w:rPr>
  </w:style>
  <w:style w:type="paragraph" w:styleId="Spistreci4">
    <w:name w:val="toc 4"/>
    <w:basedOn w:val="Normalny"/>
    <w:next w:val="Normalny"/>
    <w:semiHidden/>
    <w:pPr>
      <w:tabs>
        <w:tab w:val="left" w:pos="1775"/>
        <w:tab w:val="right" w:leader="dot" w:pos="9072"/>
      </w:tabs>
      <w:spacing w:before="40"/>
      <w:ind w:left="1775" w:hanging="567"/>
    </w:pPr>
    <w:rPr>
      <w:rFonts w:ascii="EY Gothic Cond Medium" w:hAnsi="EY Gothic Cond Medium"/>
      <w:sz w:val="22"/>
    </w:rPr>
  </w:style>
  <w:style w:type="paragraph" w:styleId="Spistreci5">
    <w:name w:val="toc 5"/>
    <w:basedOn w:val="Normalny"/>
    <w:next w:val="Normalny"/>
    <w:semiHidden/>
    <w:pPr>
      <w:tabs>
        <w:tab w:val="left" w:pos="2410"/>
        <w:tab w:val="right" w:leader="dot" w:pos="9072"/>
      </w:tabs>
      <w:spacing w:before="20"/>
      <w:ind w:left="2416" w:hanging="641"/>
    </w:pPr>
    <w:rPr>
      <w:rFonts w:ascii="EY Gothic Cond Medium" w:hAnsi="EY Gothic Cond Medium"/>
      <w:sz w:val="20"/>
    </w:rPr>
  </w:style>
  <w:style w:type="paragraph" w:styleId="Lista">
    <w:name w:val="List"/>
    <w:basedOn w:val="Normalny"/>
    <w:uiPriority w:val="99"/>
    <w:unhideWhenUsed/>
    <w:rsid w:val="00000586"/>
    <w:pPr>
      <w:spacing w:before="0"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000586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2514B"/>
    <w:pPr>
      <w:spacing w:before="0"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1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C1"/>
    <w:pPr>
      <w:spacing w:before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C1"/>
    <w:rPr>
      <w:rFonts w:ascii="Segoe UI" w:hAnsi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5"/>
      </w:numPr>
      <w:spacing w:before="240" w:after="360"/>
      <w:outlineLvl w:val="0"/>
    </w:pPr>
    <w:rPr>
      <w:rFonts w:ascii="EY Gothic Cond Medium" w:hAnsi="EY Gothic Cond Medium" w:cs="Arial"/>
      <w:b/>
      <w:bCs/>
      <w:sz w:val="4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5"/>
      </w:numPr>
      <w:spacing w:before="240" w:after="360"/>
      <w:outlineLvl w:val="1"/>
    </w:pPr>
    <w:rPr>
      <w:rFonts w:ascii="EY Gothic Cond Medium" w:hAnsi="EY Gothic Cond Medium" w:cs="Arial"/>
      <w:bCs/>
      <w:i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5"/>
      </w:numPr>
      <w:spacing w:before="240" w:after="360"/>
      <w:outlineLvl w:val="2"/>
    </w:pPr>
    <w:rPr>
      <w:rFonts w:ascii="EY Gothic Cond Medium" w:hAnsi="EY Gothic Cond Medium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5"/>
      </w:numPr>
      <w:spacing w:before="240" w:after="240"/>
      <w:outlineLvl w:val="3"/>
    </w:pPr>
    <w:rPr>
      <w:rFonts w:ascii="EY Gothic Cond Medium" w:hAnsi="EY Gothic Cond Medium"/>
      <w:bCs/>
      <w:sz w:val="26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5"/>
      </w:numPr>
      <w:spacing w:before="240" w:after="24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5"/>
      </w:numPr>
      <w:tabs>
        <w:tab w:val="left" w:pos="1208"/>
      </w:tabs>
      <w:spacing w:after="120"/>
      <w:outlineLvl w:val="5"/>
    </w:pPr>
    <w:rPr>
      <w:bCs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5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5"/>
      </w:numPr>
      <w:spacing w:before="6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5"/>
      </w:numPr>
      <w:spacing w:before="60"/>
      <w:outlineLvl w:val="8"/>
    </w:pPr>
    <w:rPr>
      <w:rFonts w:cs="Arial"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semiHidden/>
    <w:pPr>
      <w:numPr>
        <w:numId w:val="3"/>
      </w:numPr>
      <w:jc w:val="both"/>
    </w:pPr>
  </w:style>
  <w:style w:type="paragraph" w:styleId="Listapunktowana2">
    <w:name w:val="List Bullet 2"/>
    <w:basedOn w:val="Normalny"/>
    <w:semiHidden/>
    <w:pPr>
      <w:numPr>
        <w:numId w:val="4"/>
      </w:numPr>
      <w:jc w:val="both"/>
    </w:pPr>
  </w:style>
  <w:style w:type="paragraph" w:styleId="Nagwekwykazurde">
    <w:name w:val="toa heading"/>
    <w:basedOn w:val="Normalny"/>
    <w:next w:val="Normalny"/>
    <w:semiHidden/>
    <w:pPr>
      <w:spacing w:after="1320"/>
    </w:pPr>
    <w:rPr>
      <w:rFonts w:ascii="EY Gothic Cond Medium" w:hAnsi="EY Gothic Cond Medium" w:cs="Arial"/>
      <w:bCs/>
      <w:sz w:val="60"/>
    </w:rPr>
  </w:style>
  <w:style w:type="paragraph" w:styleId="Spistreci1">
    <w:name w:val="toc 1"/>
    <w:basedOn w:val="Normalny"/>
    <w:next w:val="Normalny"/>
    <w:semiHidden/>
    <w:pPr>
      <w:tabs>
        <w:tab w:val="left" w:pos="357"/>
        <w:tab w:val="right" w:leader="dot" w:pos="9072"/>
      </w:tabs>
      <w:ind w:left="357" w:hanging="357"/>
    </w:pPr>
    <w:rPr>
      <w:rFonts w:ascii="EY Gothic Cond Medium" w:hAnsi="EY Gothic Cond Medium"/>
      <w:sz w:val="28"/>
    </w:rPr>
  </w:style>
  <w:style w:type="paragraph" w:styleId="Spistreci2">
    <w:name w:val="toc 2"/>
    <w:basedOn w:val="Normalny"/>
    <w:next w:val="Normalny"/>
    <w:semiHidden/>
    <w:pPr>
      <w:tabs>
        <w:tab w:val="left" w:pos="709"/>
        <w:tab w:val="right" w:leader="dot" w:pos="9072"/>
      </w:tabs>
      <w:spacing w:before="80"/>
      <w:ind w:left="714" w:hanging="357"/>
    </w:pPr>
    <w:rPr>
      <w:rFonts w:ascii="EY Gothic Cond Medium" w:hAnsi="EY Gothic Cond Medium"/>
      <w:sz w:val="26"/>
    </w:rPr>
  </w:style>
  <w:style w:type="paragraph" w:styleId="Spistreci3">
    <w:name w:val="toc 3"/>
    <w:basedOn w:val="Normalny"/>
    <w:next w:val="Normalny"/>
    <w:semiHidden/>
    <w:pPr>
      <w:tabs>
        <w:tab w:val="left" w:pos="1208"/>
        <w:tab w:val="right" w:leader="dot" w:pos="9072"/>
      </w:tabs>
      <w:spacing w:before="60"/>
      <w:ind w:left="1208" w:hanging="499"/>
    </w:pPr>
    <w:rPr>
      <w:rFonts w:ascii="EY Gothic Cond Medium" w:hAnsi="EY Gothic Cond Medium"/>
    </w:rPr>
  </w:style>
  <w:style w:type="paragraph" w:styleId="Spistreci4">
    <w:name w:val="toc 4"/>
    <w:basedOn w:val="Normalny"/>
    <w:next w:val="Normalny"/>
    <w:semiHidden/>
    <w:pPr>
      <w:tabs>
        <w:tab w:val="left" w:pos="1775"/>
        <w:tab w:val="right" w:leader="dot" w:pos="9072"/>
      </w:tabs>
      <w:spacing w:before="40"/>
      <w:ind w:left="1775" w:hanging="567"/>
    </w:pPr>
    <w:rPr>
      <w:rFonts w:ascii="EY Gothic Cond Medium" w:hAnsi="EY Gothic Cond Medium"/>
      <w:sz w:val="22"/>
    </w:rPr>
  </w:style>
  <w:style w:type="paragraph" w:styleId="Spistreci5">
    <w:name w:val="toc 5"/>
    <w:basedOn w:val="Normalny"/>
    <w:next w:val="Normalny"/>
    <w:semiHidden/>
    <w:pPr>
      <w:tabs>
        <w:tab w:val="left" w:pos="2410"/>
        <w:tab w:val="right" w:leader="dot" w:pos="9072"/>
      </w:tabs>
      <w:spacing w:before="20"/>
      <w:ind w:left="2416" w:hanging="641"/>
    </w:pPr>
    <w:rPr>
      <w:rFonts w:ascii="EY Gothic Cond Medium" w:hAnsi="EY Gothic Cond Medium"/>
      <w:sz w:val="20"/>
    </w:rPr>
  </w:style>
  <w:style w:type="paragraph" w:styleId="Lista">
    <w:name w:val="List"/>
    <w:basedOn w:val="Normalny"/>
    <w:uiPriority w:val="99"/>
    <w:unhideWhenUsed/>
    <w:rsid w:val="00000586"/>
    <w:pPr>
      <w:spacing w:before="0"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000586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02514B"/>
    <w:pPr>
      <w:spacing w:before="0"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1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C1"/>
    <w:pPr>
      <w:spacing w:before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C1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Liptak</dc:creator>
  <cp:lastModifiedBy>Strząbała, Ewa</cp:lastModifiedBy>
  <cp:revision>2</cp:revision>
  <dcterms:created xsi:type="dcterms:W3CDTF">2016-03-29T11:21:00Z</dcterms:created>
  <dcterms:modified xsi:type="dcterms:W3CDTF">2016-03-29T11:21:00Z</dcterms:modified>
</cp:coreProperties>
</file>