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DE" w:rsidRPr="00574AF1" w:rsidRDefault="00DC14DE" w:rsidP="00002E9D">
      <w:pPr>
        <w:tabs>
          <w:tab w:val="left" w:pos="1701"/>
        </w:tabs>
        <w:spacing w:after="240" w:line="360" w:lineRule="auto"/>
        <w:ind w:left="-142"/>
        <w:jc w:val="both"/>
        <w:rPr>
          <w:rFonts w:ascii="Trebuchet MS" w:hAnsi="Trebuchet MS"/>
          <w:b/>
          <w:sz w:val="18"/>
          <w:szCs w:val="18"/>
        </w:rPr>
      </w:pPr>
      <w:r w:rsidRPr="00574AF1">
        <w:rPr>
          <w:rFonts w:ascii="Trebuchet MS" w:hAnsi="Trebuchet MS"/>
          <w:b/>
          <w:sz w:val="18"/>
          <w:szCs w:val="18"/>
        </w:rPr>
        <w:t xml:space="preserve">Ogłoszenie konkursu w ramach </w:t>
      </w:r>
      <w:r w:rsidR="00B060E7" w:rsidRPr="00574AF1">
        <w:rPr>
          <w:rFonts w:ascii="Trebuchet MS" w:hAnsi="Trebuchet MS"/>
          <w:b/>
          <w:sz w:val="18"/>
          <w:szCs w:val="18"/>
        </w:rPr>
        <w:t>Pod</w:t>
      </w:r>
      <w:r w:rsidR="00145077" w:rsidRPr="00574AF1">
        <w:rPr>
          <w:rFonts w:ascii="Trebuchet MS" w:hAnsi="Trebuchet MS"/>
          <w:b/>
          <w:sz w:val="18"/>
          <w:szCs w:val="18"/>
        </w:rPr>
        <w:t>d</w:t>
      </w:r>
      <w:r w:rsidRPr="00574AF1">
        <w:rPr>
          <w:rFonts w:ascii="Trebuchet MS" w:hAnsi="Trebuchet MS"/>
          <w:b/>
          <w:sz w:val="18"/>
          <w:szCs w:val="18"/>
        </w:rPr>
        <w:t xml:space="preserve">ziałania </w:t>
      </w:r>
      <w:r w:rsidR="00BB44EB" w:rsidRPr="00574AF1">
        <w:rPr>
          <w:rFonts w:ascii="Trebuchet MS" w:hAnsi="Trebuchet MS"/>
          <w:b/>
          <w:sz w:val="18"/>
          <w:szCs w:val="18"/>
        </w:rPr>
        <w:t>9</w:t>
      </w:r>
      <w:r w:rsidR="00B060E7" w:rsidRPr="00574AF1">
        <w:rPr>
          <w:rFonts w:ascii="Trebuchet MS" w:hAnsi="Trebuchet MS"/>
          <w:b/>
          <w:sz w:val="18"/>
          <w:szCs w:val="18"/>
        </w:rPr>
        <w:t>.2.1</w:t>
      </w:r>
      <w:r w:rsidR="00685990">
        <w:rPr>
          <w:rFonts w:ascii="Trebuchet MS" w:hAnsi="Trebuchet MS"/>
          <w:b/>
          <w:sz w:val="18"/>
          <w:szCs w:val="18"/>
        </w:rPr>
        <w:t xml:space="preserve"> OSI – </w:t>
      </w:r>
      <w:r w:rsidR="00236535" w:rsidRPr="00236535">
        <w:rPr>
          <w:rFonts w:ascii="Trebuchet MS" w:hAnsi="Trebuchet MS"/>
          <w:b/>
          <w:sz w:val="18"/>
          <w:szCs w:val="18"/>
        </w:rPr>
        <w:t>obszary o najgorszym dostępie do usług</w:t>
      </w:r>
    </w:p>
    <w:p w:rsidR="008A5B8D" w:rsidRPr="00574AF1" w:rsidRDefault="00E82D5E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Departament Wdrażania Europejskiego Funduszu Społecznego Urzęd</w:t>
      </w:r>
      <w:r w:rsidR="00457656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u Marszałkowskiego Województwa Ś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więtokrzyskiego 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ogłasza konkurs nr: </w:t>
      </w:r>
      <w:r w:rsidR="00236535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RPSW.09.02.01-IZ.00-26-108/17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zaprasza Państwa do składania wniosków o dofinansowanie projektów ze środków Regionalnego Programu Operacyjnego Województwa Świętokrzyskiego na lata 2014-2020 w ramach Europejskiego Funduszu Społecznego, Osi 9. Włączenie społeczne </w:t>
      </w:r>
      <w:r w:rsidR="00B060E7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i walka z ubóstwem,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B060E7" w:rsidRPr="00574AF1">
        <w:rPr>
          <w:rFonts w:ascii="Trebuchet MS" w:hAnsi="Trebuchet MS"/>
          <w:sz w:val="18"/>
          <w:szCs w:val="18"/>
        </w:rPr>
        <w:t xml:space="preserve">Podziałania 9.2.1 </w:t>
      </w:r>
      <w:r w:rsidR="00B060E7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Rozwój wysokiej jakości usług społecznych</w:t>
      </w:r>
      <w:r w:rsidR="002E5FC6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</w:t>
      </w:r>
      <w:r w:rsidR="00907055"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Konkurs dedykowany</w:t>
      </w:r>
      <w:r w:rsidR="00907055" w:rsidRPr="00271C8A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Obszar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owi</w:t>
      </w:r>
      <w:r w:rsidR="00907055" w:rsidRPr="00271C8A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Strategicznej Interwencji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07055" w:rsidRPr="00271C8A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- obszary o najgorszym dostępie do usług publicznych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07055" w:rsidRPr="00236535">
        <w:rPr>
          <w:rFonts w:ascii="Trebuchet MS" w:eastAsia="Times New Roman" w:hAnsi="Trebuchet MS"/>
          <w:i/>
          <w:color w:val="000000"/>
          <w:sz w:val="18"/>
          <w:szCs w:val="18"/>
          <w:lang w:eastAsia="pl-PL"/>
        </w:rPr>
        <w:t>(obszary wiejskie)</w:t>
      </w:r>
      <w:r w:rsidR="00907055" w:rsidRPr="00814A72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</w:t>
      </w:r>
    </w:p>
    <w:p w:rsidR="00907055" w:rsidRDefault="008A5B8D" w:rsidP="00907055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u w:val="single"/>
          <w:lang w:eastAsia="pl-PL"/>
        </w:rPr>
        <w:t>Wsparciem mogą zostać objęte następujące typy operacji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  <w:t>:</w:t>
      </w:r>
    </w:p>
    <w:p w:rsidR="00B060E7" w:rsidRPr="00907055" w:rsidRDefault="00B060E7" w:rsidP="00907055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Ułatwianie dostępu i podnoszenie jakości usług społecznych, poprzez: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Profilaktykę społeczną skierowaną do dzieci i rodzin w ramach działalności placówek wsparcia dziennego, świetlic środowiskowych itp.  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Wsparcie na rzecz prawidłowego funkcjonowania rodziny, tj. działania asystenta rodziny, grupy wsparcia, interwencja kryzysowa, warsztaty i poradnictwo dla rodzin, w tym m.in. specjalistyczne, terapeutyczne 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prawne (poradnictwo prawne i obywatelskie świadczone w oparciu o zdiagnozowane, indywidualne potrzeby uczestników może być realizowane tylko jako integralna część kompleksowego projektu).  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Wsparcie procesu usamodzielniania się i integracji ze środowiskiem, w tym poprzez specjalistyczne poradnictwo, usługi świadczone w ramach mieszkalnictwa wspomaganego – chronionego, treningowego 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i wspieranego (np.: pobyt czasowy z uwzględnieniem usług w formie treningów, nauki samodzielności, poradnictwa, pracy socjalnej, zmierzające do całkowitego usamodzielnienia).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Wsparcie systemu pieczy zastępczej poprzez:</w:t>
      </w:r>
    </w:p>
    <w:p w:rsidR="00907055" w:rsidRPr="00907055" w:rsidRDefault="00907055" w:rsidP="00907055">
      <w:pPr>
        <w:numPr>
          <w:ilvl w:val="0"/>
          <w:numId w:val="26"/>
        </w:numPr>
        <w:spacing w:after="0" w:line="360" w:lineRule="auto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rozwój rodzinnych form pieczy zastępczej oraz wsparcie dla procesu deinstytucjonalizacji form instytucjonalnych pieczy zastępczej;  </w:t>
      </w:r>
    </w:p>
    <w:p w:rsidR="00907055" w:rsidRPr="00907055" w:rsidRDefault="00907055" w:rsidP="00907055">
      <w:pPr>
        <w:numPr>
          <w:ilvl w:val="0"/>
          <w:numId w:val="26"/>
        </w:numPr>
        <w:spacing w:after="0" w:line="360" w:lineRule="auto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wsparcie rodzin i wychowanków pieczy zastępczej w ramach m.in. poradnictwa, terapii </w:t>
      </w:r>
      <w:r>
        <w:rPr>
          <w:rFonts w:ascii="Trebuchet MS" w:eastAsia="Times New Roman" w:hAnsi="Trebuchet MS"/>
          <w:color w:val="000000"/>
          <w:sz w:val="18"/>
          <w:szCs w:val="18"/>
          <w:lang w:eastAsia="pl-PL"/>
        </w:rPr>
        <w:br/>
      </w: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i specjalistycznego wsparcia.  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Deinstytucjonalizację opieki nad osobami niesamodzielnymi, poprzez rozwój alternatywnych form opieki nad osobami niesamodzielnymi (w tym osobami starszymi), obejmującą:</w:t>
      </w:r>
    </w:p>
    <w:p w:rsidR="00907055" w:rsidRPr="00907055" w:rsidRDefault="00907055" w:rsidP="00907055">
      <w:pPr>
        <w:numPr>
          <w:ilvl w:val="0"/>
          <w:numId w:val="33"/>
        </w:numPr>
        <w:spacing w:after="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tworzenie miejsc świadczenia usług opiekuńczych w formie usług świadczonych w społeczności lokalnej w nowych jak i istniejących placówkach zapewniających opiekę dzienną i całodobową (w tym osób starszych, niepełnosprawnych, chorych),</w:t>
      </w:r>
    </w:p>
    <w:p w:rsidR="00907055" w:rsidRPr="00907055" w:rsidRDefault="00907055" w:rsidP="00907055">
      <w:pPr>
        <w:numPr>
          <w:ilvl w:val="0"/>
          <w:numId w:val="33"/>
        </w:numPr>
        <w:spacing w:after="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wsparcie dla usług asystenckich, opiekuńczych i specjalistycznych usług opiekuńczych w ramach opieki rodzinnej i środowiskowej, m.in. w formie rodzinnych domów pomocy, usług asystenta osoby niepełnosprawnej,</w:t>
      </w:r>
    </w:p>
    <w:p w:rsidR="00907055" w:rsidRPr="00907055" w:rsidRDefault="00907055" w:rsidP="00907055">
      <w:pPr>
        <w:numPr>
          <w:ilvl w:val="0"/>
          <w:numId w:val="33"/>
        </w:numPr>
        <w:spacing w:after="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usługi świadczone w ramach mieszkalnictwa wspomaganego – chronionego, treningowego i wspieranego (np. pobyt stały lub okresowy dla osób starszych i niepełnosprawnych, częściowo lub całkowicie niesamodzielnych i wymagających wsparcia w formie usług opiekuńczych).</w:t>
      </w:r>
    </w:p>
    <w:p w:rsidR="00907055" w:rsidRPr="00907055" w:rsidRDefault="00907055" w:rsidP="00907055">
      <w:pPr>
        <w:numPr>
          <w:ilvl w:val="0"/>
          <w:numId w:val="25"/>
        </w:numPr>
        <w:spacing w:after="0" w:line="360" w:lineRule="auto"/>
        <w:ind w:left="426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Podnoszenie kwalifikacji i kompetencji osób związanych ze świadczeniem usług społecznych, w tym osób sprawujących pieczę zastępczą oraz opiekunów (w szczególności członków rodzin) w zakresie opieki nad osobami niesamodzielnymi, w tym osobami starszymi.</w:t>
      </w:r>
    </w:p>
    <w:p w:rsidR="00907055" w:rsidRPr="00907055" w:rsidRDefault="00907055" w:rsidP="00907055">
      <w:p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907055">
        <w:rPr>
          <w:rFonts w:ascii="Trebuchet MS" w:eastAsia="Times New Roman" w:hAnsi="Trebuchet MS"/>
          <w:i/>
          <w:color w:val="000000"/>
          <w:sz w:val="18"/>
          <w:szCs w:val="18"/>
          <w:lang w:eastAsia="pl-PL"/>
        </w:rPr>
        <w:t>Wsparcie przewidziane w ramach typu projektu nr 6 musi być realizowane łącznie z co najmniej jednym z typów projektów od 1 do 5.</w:t>
      </w:r>
      <w:r w:rsidRPr="00907055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B650F4" w:rsidRPr="00574AF1" w:rsidRDefault="00B650F4" w:rsidP="00740B15">
      <w:p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740B15" w:rsidRPr="00574AF1" w:rsidRDefault="008A5B8D" w:rsidP="00740B15">
      <w:p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 ramach konkursu o dofinansowanie projektu 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mogą ubiegać się </w:t>
      </w:r>
      <w:r w:rsidR="00740B15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wszystkie podmioty, </w:t>
      </w:r>
      <w:r w:rsidR="00740B15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br/>
        <w:t>z wyłączeniem osób fizycznych (nie dotyczy osób prowadzących działalność gospodarczą lub oświatową na podstawie przepisów odrębnych), w szczególności: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lastRenderedPageBreak/>
        <w:t xml:space="preserve">jednostki samorządu terytorialnego,   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jednostki organizacyjne, związki i stowarzyszenia </w:t>
      </w:r>
      <w:r w:rsidR="00457656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JST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,  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instytucje pomocy i integracji społecznej, </w:t>
      </w:r>
    </w:p>
    <w:p w:rsidR="00B650F4" w:rsidRPr="00574AF1" w:rsidRDefault="00B650F4" w:rsidP="0045765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podmioty ekonomii społecznej, w tym organizacje pozarządowe. </w:t>
      </w:r>
    </w:p>
    <w:p w:rsidR="00740B15" w:rsidRPr="00574AF1" w:rsidRDefault="00740B15" w:rsidP="00740B15">
      <w:pPr>
        <w:spacing w:after="0" w:line="360" w:lineRule="auto"/>
        <w:ind w:left="720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</w:p>
    <w:p w:rsidR="008A5B8D" w:rsidRPr="00574AF1" w:rsidRDefault="008A5B8D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Kwota środków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przeznaczonych na dofinansowanie projektów w ramach konkursu wynosi: </w:t>
      </w:r>
      <w:r w:rsidR="00907055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20 853 200</w:t>
      </w:r>
      <w:r w:rsidR="00740B15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PLN.</w:t>
      </w:r>
    </w:p>
    <w:p w:rsidR="00740B15" w:rsidRPr="00574AF1" w:rsidRDefault="00740B15" w:rsidP="00457656">
      <w:pPr>
        <w:spacing w:after="0" w:line="360" w:lineRule="auto"/>
        <w:ind w:left="-142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Maksymalny poziom dofinansowania projektu wynosi 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92,5%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wydatków kwalifikowalnych (w przypadku projektów nieobjętych pomocą publiczną), w tym maksymalny poziom dofinansowania UE wynosi </w:t>
      </w:r>
      <w:bookmarkStart w:id="0" w:name="_GoBack"/>
      <w:bookmarkEnd w:id="0"/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85% wydatków kwalifikowalnych, a maksymalne współfinansowanie z budżetu państwa wynosi 7,5% wydatków kwalifikowalnych.</w:t>
      </w:r>
    </w:p>
    <w:p w:rsidR="00740B15" w:rsidRPr="00574AF1" w:rsidRDefault="00740B15" w:rsidP="00457656">
      <w:pPr>
        <w:spacing w:after="0" w:line="360" w:lineRule="auto"/>
        <w:ind w:left="-142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Wnioskodawca jest zobowiązany do wniesienia wkładu własnego o minimalnej wysokości 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7,5%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wydatków kwalifikowalnych projektu.</w:t>
      </w:r>
    </w:p>
    <w:p w:rsidR="008A5B8D" w:rsidRPr="00574AF1" w:rsidRDefault="008A5B8D" w:rsidP="00457656">
      <w:pPr>
        <w:spacing w:after="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u w:val="single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Wnioski o dofinansowanie projektu należy składać </w:t>
      </w:r>
      <w:r w:rsidR="00907055" w:rsidRPr="00907055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od dnia 4 maja 2017 r. do dnia 19 maja 2017 r.</w:t>
      </w:r>
    </w:p>
    <w:p w:rsidR="008A5B8D" w:rsidRPr="00574AF1" w:rsidRDefault="008A5B8D" w:rsidP="00457656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w wersji elektronicznej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(od </w:t>
      </w:r>
      <w:r w:rsidR="0068599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04.05.2017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r.</w:t>
      </w:r>
      <w:r w:rsidR="00574AF1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– 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godz.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7:00 do </w:t>
      </w:r>
      <w:r w:rsidR="0068599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19.05.2017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r. - godz.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15:00) za pośrednictwem Lokalnego Systemu Informatycznego </w:t>
      </w:r>
      <w:r w:rsidR="00FF2CB8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(LSI)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do obsługi wniosków o dofinansowanie w ramach RPOWŚ 2014-2020 </w:t>
      </w:r>
    </w:p>
    <w:p w:rsidR="008A5B8D" w:rsidRPr="00574AF1" w:rsidRDefault="008A5B8D" w:rsidP="00E82D5E">
      <w:pPr>
        <w:spacing w:after="0" w:line="360" w:lineRule="auto"/>
        <w:ind w:left="284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oraz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</w:p>
    <w:p w:rsidR="008A5B8D" w:rsidRPr="00574AF1" w:rsidRDefault="0096530A" w:rsidP="00E82D5E">
      <w:pPr>
        <w:numPr>
          <w:ilvl w:val="0"/>
          <w:numId w:val="19"/>
        </w:numPr>
        <w:spacing w:after="120" w:line="360" w:lineRule="auto"/>
        <w:ind w:left="709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w wersji papierowej 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(w dni robocze od godziny 8:00 do 15:00)</w:t>
      </w:r>
      <w:r w:rsidR="008A5B8D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w sekretariacie (I piętro pok. 105) Departamentu Wdrażania Europejskiego Funduszu Społecznego, ul. H. Sienkiewicza 27, 25-007 Kielce. </w:t>
      </w:r>
    </w:p>
    <w:p w:rsidR="008A5B8D" w:rsidRPr="00574AF1" w:rsidRDefault="008A5B8D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Suma kontrolna wniosku przekazanego prz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ez LSI i suma kontrolna wniosku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w wersji papierowej musi być tożsama.</w:t>
      </w:r>
    </w:p>
    <w:p w:rsidR="008A5B8D" w:rsidRPr="00574AF1" w:rsidRDefault="00740B15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Zachowanie terminu do </w:t>
      </w:r>
      <w:r w:rsidR="00685990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19.05</w:t>
      </w:r>
      <w:r w:rsidR="003D3B69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.2017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r. (godz. 15:00) oznacza wpływ wniosku o dofinansowanie do Departamentu Wdrażania EFS zarówno w wersji elektronicznej</w:t>
      </w:r>
      <w:r w:rsidR="004D7B0F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,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</w:t>
      </w:r>
      <w:r w:rsidR="0096530A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>jak i</w:t>
      </w:r>
      <w:r w:rsidR="008A5B8D"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papierowej.</w:t>
      </w:r>
    </w:p>
    <w:p w:rsidR="008A5B8D" w:rsidRPr="00574AF1" w:rsidRDefault="008A5B8D" w:rsidP="008A5B8D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Termin zakończenia oceny</w:t>
      </w:r>
      <w:r w:rsidRPr="00574AF1">
        <w:rPr>
          <w:rFonts w:ascii="Trebuchet MS" w:eastAsia="Times New Roman" w:hAnsi="Trebuchet MS"/>
          <w:color w:val="000000"/>
          <w:sz w:val="18"/>
          <w:szCs w:val="18"/>
          <w:lang w:eastAsia="pl-PL"/>
        </w:rPr>
        <w:t xml:space="preserve"> wniosków planowany jest na koniec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</w:t>
      </w:r>
      <w:r w:rsidR="00685990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>listopada</w:t>
      </w:r>
      <w:r w:rsidR="00B650F4"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2017</w:t>
      </w:r>
      <w:r w:rsidRPr="00574AF1">
        <w:rPr>
          <w:rFonts w:ascii="Trebuchet MS" w:eastAsia="Times New Roman" w:hAnsi="Trebuchet MS"/>
          <w:b/>
          <w:color w:val="000000"/>
          <w:sz w:val="18"/>
          <w:szCs w:val="18"/>
          <w:lang w:eastAsia="pl-PL"/>
        </w:rPr>
        <w:t xml:space="preserve"> r.</w:t>
      </w:r>
    </w:p>
    <w:p w:rsidR="00356BFC" w:rsidRPr="00574AF1" w:rsidRDefault="00356BFC" w:rsidP="006F45CC">
      <w:pPr>
        <w:spacing w:after="0" w:line="360" w:lineRule="auto"/>
        <w:ind w:left="-142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Kontakt:</w:t>
      </w:r>
    </w:p>
    <w:p w:rsidR="00356BFC" w:rsidRPr="00574AF1" w:rsidRDefault="00356BFC" w:rsidP="00356BFC">
      <w:pPr>
        <w:spacing w:after="120" w:line="360" w:lineRule="auto"/>
        <w:ind w:left="-142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Instytucja Organizująca Konkurs – Departament Wdrażania Europejskiego Funduszu Społecznego ul. </w:t>
      </w:r>
      <w:r w:rsidR="006F45CC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br/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H. </w:t>
      </w:r>
      <w:r w:rsidR="004D7B0F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Sienkiewicza 27, 25-007 Kielce (w godzinach od 8:00 do 15:00),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tel. 41 34 98 923 </w:t>
      </w:r>
      <w:r w:rsidR="006F45CC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oraz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za pośrednictwem poczty elektronicznej </w:t>
      </w:r>
      <w:hyperlink r:id="rId8" w:history="1">
        <w:r w:rsidR="006F45CC" w:rsidRPr="00574AF1">
          <w:rPr>
            <w:rStyle w:val="Hipercze"/>
            <w:rFonts w:ascii="Trebuchet MS" w:eastAsia="Times New Roman" w:hAnsi="Trebuchet MS"/>
            <w:bCs/>
            <w:sz w:val="18"/>
            <w:szCs w:val="18"/>
            <w:lang w:eastAsia="pl-PL"/>
          </w:rPr>
          <w:t>infoEFS@sejmik.kielce.pl</w:t>
        </w:r>
      </w:hyperlink>
      <w:r w:rsidR="002E5FC6" w:rsidRPr="00574AF1">
        <w:rPr>
          <w:rStyle w:val="Hipercze"/>
          <w:rFonts w:ascii="Trebuchet MS" w:eastAsia="Times New Roman" w:hAnsi="Trebuchet MS"/>
          <w:bCs/>
          <w:sz w:val="18"/>
          <w:szCs w:val="18"/>
          <w:lang w:eastAsia="pl-PL"/>
        </w:rPr>
        <w:t>.</w:t>
      </w:r>
      <w:r w:rsidR="006F45CC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</w:t>
      </w:r>
    </w:p>
    <w:p w:rsidR="00356BFC" w:rsidRPr="00574AF1" w:rsidRDefault="00356BFC" w:rsidP="00356BFC">
      <w:pPr>
        <w:spacing w:after="120" w:line="360" w:lineRule="auto"/>
        <w:ind w:left="-142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Dodatkowo informacji udziela:</w:t>
      </w:r>
    </w:p>
    <w:p w:rsidR="00356BFC" w:rsidRPr="00574AF1" w:rsidRDefault="00356BFC" w:rsidP="00356BFC">
      <w:pPr>
        <w:pStyle w:val="Akapitzlist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574AF1" w:rsidRDefault="00356BFC" w:rsidP="00356BFC">
      <w:pPr>
        <w:pStyle w:val="Akapitzlist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Lokalny Punkt Informacyjny w Sandomierzu – ul. Mickiewicza 34, 27-600 Sandomierz (tel. 15 832 33 54, 15 864 20 74)</w:t>
      </w:r>
    </w:p>
    <w:p w:rsidR="00356BFC" w:rsidRPr="00574AF1" w:rsidRDefault="00356BFC" w:rsidP="00356BFC">
      <w:pPr>
        <w:pStyle w:val="Akapitzlist"/>
        <w:numPr>
          <w:ilvl w:val="0"/>
          <w:numId w:val="24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</w:pP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Lokalny Punkt Informacyjny w Busku-Zdroju – Al. Mickiewicza 15, 28-100 Busko-Zdrój (tel. 41 378 12 06, 41 370 97 17)</w:t>
      </w:r>
      <w:r w:rsidR="002E5FC6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.</w:t>
      </w:r>
    </w:p>
    <w:p w:rsidR="00DC14DE" w:rsidRPr="00574AF1" w:rsidRDefault="00DC14DE" w:rsidP="00356BFC">
      <w:pPr>
        <w:spacing w:after="120" w:line="360" w:lineRule="auto"/>
        <w:ind w:left="-142"/>
        <w:jc w:val="both"/>
        <w:rPr>
          <w:rFonts w:ascii="Trebuchet MS" w:hAnsi="Trebuchet MS"/>
          <w:sz w:val="18"/>
          <w:szCs w:val="18"/>
        </w:rPr>
      </w:pP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Regulam</w:t>
      </w:r>
      <w:r w:rsidR="00740B15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in konkursu dla Podd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ziałania </w:t>
      </w:r>
      <w:r w:rsidR="000B4386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9</w:t>
      </w:r>
      <w:r w:rsidR="00740B15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.2.1</w:t>
      </w:r>
      <w:r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wraz z załącznikami dostępne są na stronie internetowej </w:t>
      </w:r>
      <w:r w:rsidR="000035F1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RPOW</w:t>
      </w:r>
      <w:r w:rsidR="0058132D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>Ś</w:t>
      </w:r>
      <w:r w:rsidR="000035F1" w:rsidRPr="00574AF1">
        <w:rPr>
          <w:rFonts w:ascii="Trebuchet MS" w:eastAsia="Times New Roman" w:hAnsi="Trebuchet MS"/>
          <w:b/>
          <w:bCs/>
          <w:color w:val="000000"/>
          <w:sz w:val="18"/>
          <w:szCs w:val="18"/>
          <w:lang w:eastAsia="pl-PL"/>
        </w:rPr>
        <w:t xml:space="preserve"> 2014-2020 </w:t>
      </w:r>
      <w:r w:rsidR="000035F1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(link</w:t>
      </w:r>
      <w:r w:rsidR="00A70BE7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: </w:t>
      </w:r>
      <w:hyperlink r:id="rId9" w:history="1">
        <w:r w:rsidR="00A70BE7" w:rsidRPr="00574AF1">
          <w:rPr>
            <w:rStyle w:val="Hipercze"/>
            <w:rFonts w:ascii="Trebuchet MS" w:eastAsia="Times New Roman" w:hAnsi="Trebuchet MS"/>
            <w:bCs/>
            <w:sz w:val="18"/>
            <w:szCs w:val="18"/>
            <w:lang w:eastAsia="pl-PL"/>
          </w:rPr>
          <w:t>http://www.2014-2020.rpo-swietokrzyskie.pl/index.php/skorzystaj/zobacz-ogloszenia-i-wyniki-naborow-wnioskow</w:t>
        </w:r>
      </w:hyperlink>
      <w:r w:rsidR="00A70BE7" w:rsidRPr="00574AF1">
        <w:rPr>
          <w:rFonts w:ascii="Trebuchet MS" w:hAnsi="Trebuchet MS"/>
          <w:sz w:val="18"/>
          <w:szCs w:val="18"/>
        </w:rPr>
        <w:t xml:space="preserve">) </w:t>
      </w:r>
      <w:r w:rsidR="000035F1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o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raz w wersji papierowej w</w:t>
      </w:r>
      <w:r w:rsidR="00E82D5E"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 xml:space="preserve"> s</w:t>
      </w:r>
      <w:r w:rsidRPr="00574AF1">
        <w:rPr>
          <w:rFonts w:ascii="Trebuchet MS" w:eastAsia="Times New Roman" w:hAnsi="Trebuchet MS"/>
          <w:bCs/>
          <w:color w:val="000000"/>
          <w:sz w:val="18"/>
          <w:szCs w:val="18"/>
          <w:lang w:eastAsia="pl-PL"/>
        </w:rPr>
        <w:t>ekretariacie (I piętro – pok. 105) Departamentu Wdrażania Europejskiego Funduszu Społecznego.</w:t>
      </w:r>
    </w:p>
    <w:p w:rsidR="005E41E7" w:rsidRPr="00574AF1" w:rsidRDefault="005E41E7">
      <w:pPr>
        <w:rPr>
          <w:rFonts w:ascii="Trebuchet MS" w:hAnsi="Trebuchet MS"/>
          <w:sz w:val="18"/>
          <w:szCs w:val="18"/>
        </w:rPr>
      </w:pPr>
    </w:p>
    <w:sectPr w:rsidR="005E41E7" w:rsidRPr="00574AF1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56" w:rsidRDefault="00457656" w:rsidP="00B060E7">
      <w:pPr>
        <w:spacing w:after="0" w:line="240" w:lineRule="auto"/>
      </w:pPr>
      <w:r>
        <w:separator/>
      </w:r>
    </w:p>
  </w:endnote>
  <w:endnote w:type="continuationSeparator" w:id="0">
    <w:p w:rsidR="00457656" w:rsidRDefault="00457656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56" w:rsidRDefault="00457656" w:rsidP="00B060E7">
      <w:pPr>
        <w:spacing w:after="0" w:line="240" w:lineRule="auto"/>
      </w:pPr>
      <w:r>
        <w:separator/>
      </w:r>
    </w:p>
  </w:footnote>
  <w:footnote w:type="continuationSeparator" w:id="0">
    <w:p w:rsidR="00457656" w:rsidRDefault="00457656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40B0C8B"/>
    <w:multiLevelType w:val="hybridMultilevel"/>
    <w:tmpl w:val="60F62F76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2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6"/>
  </w:num>
  <w:num w:numId="5">
    <w:abstractNumId w:val="24"/>
  </w:num>
  <w:num w:numId="6">
    <w:abstractNumId w:val="14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20"/>
  </w:num>
  <w:num w:numId="13">
    <w:abstractNumId w:val="21"/>
  </w:num>
  <w:num w:numId="14">
    <w:abstractNumId w:val="25"/>
  </w:num>
  <w:num w:numId="15">
    <w:abstractNumId w:val="15"/>
  </w:num>
  <w:num w:numId="16">
    <w:abstractNumId w:val="16"/>
  </w:num>
  <w:num w:numId="17">
    <w:abstractNumId w:val="9"/>
  </w:num>
  <w:num w:numId="18">
    <w:abstractNumId w:val="17"/>
  </w:num>
  <w:num w:numId="19">
    <w:abstractNumId w:val="13"/>
  </w:num>
  <w:num w:numId="20">
    <w:abstractNumId w:val="29"/>
  </w:num>
  <w:num w:numId="21">
    <w:abstractNumId w:val="23"/>
  </w:num>
  <w:num w:numId="22">
    <w:abstractNumId w:val="30"/>
  </w:num>
  <w:num w:numId="23">
    <w:abstractNumId w:val="5"/>
  </w:num>
  <w:num w:numId="24">
    <w:abstractNumId w:val="8"/>
  </w:num>
  <w:num w:numId="25">
    <w:abstractNumId w:val="11"/>
  </w:num>
  <w:num w:numId="26">
    <w:abstractNumId w:val="28"/>
  </w:num>
  <w:num w:numId="27">
    <w:abstractNumId w:val="7"/>
  </w:num>
  <w:num w:numId="28">
    <w:abstractNumId w:val="18"/>
  </w:num>
  <w:num w:numId="29">
    <w:abstractNumId w:val="31"/>
  </w:num>
  <w:num w:numId="30">
    <w:abstractNumId w:val="32"/>
  </w:num>
  <w:num w:numId="31">
    <w:abstractNumId w:val="22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E"/>
    <w:rsid w:val="00002E9D"/>
    <w:rsid w:val="000035F1"/>
    <w:rsid w:val="00031FB0"/>
    <w:rsid w:val="00070570"/>
    <w:rsid w:val="000B4386"/>
    <w:rsid w:val="000E5AE2"/>
    <w:rsid w:val="00101FA1"/>
    <w:rsid w:val="00106DA6"/>
    <w:rsid w:val="001157BF"/>
    <w:rsid w:val="00145077"/>
    <w:rsid w:val="00145BE2"/>
    <w:rsid w:val="001F6665"/>
    <w:rsid w:val="00236535"/>
    <w:rsid w:val="0025461F"/>
    <w:rsid w:val="002E5FC6"/>
    <w:rsid w:val="003078BA"/>
    <w:rsid w:val="00307EC9"/>
    <w:rsid w:val="00343659"/>
    <w:rsid w:val="00356BFC"/>
    <w:rsid w:val="00373008"/>
    <w:rsid w:val="00385F9B"/>
    <w:rsid w:val="00387744"/>
    <w:rsid w:val="003D3B69"/>
    <w:rsid w:val="00457656"/>
    <w:rsid w:val="004A087F"/>
    <w:rsid w:val="004A3600"/>
    <w:rsid w:val="004A79C7"/>
    <w:rsid w:val="004D7B0F"/>
    <w:rsid w:val="005452EB"/>
    <w:rsid w:val="00546CE7"/>
    <w:rsid w:val="00574AF1"/>
    <w:rsid w:val="0058132D"/>
    <w:rsid w:val="005D257D"/>
    <w:rsid w:val="005D717B"/>
    <w:rsid w:val="005E41E7"/>
    <w:rsid w:val="006768F6"/>
    <w:rsid w:val="00685990"/>
    <w:rsid w:val="0069681C"/>
    <w:rsid w:val="006E5286"/>
    <w:rsid w:val="006F45CC"/>
    <w:rsid w:val="00727939"/>
    <w:rsid w:val="00732C9B"/>
    <w:rsid w:val="00735E64"/>
    <w:rsid w:val="00740B15"/>
    <w:rsid w:val="007D3A18"/>
    <w:rsid w:val="008A5B8D"/>
    <w:rsid w:val="00907055"/>
    <w:rsid w:val="009323D4"/>
    <w:rsid w:val="0096530A"/>
    <w:rsid w:val="00A70BE7"/>
    <w:rsid w:val="00B060E7"/>
    <w:rsid w:val="00B650F4"/>
    <w:rsid w:val="00BB44EB"/>
    <w:rsid w:val="00BF1961"/>
    <w:rsid w:val="00C006C6"/>
    <w:rsid w:val="00CC7A5F"/>
    <w:rsid w:val="00DA23AA"/>
    <w:rsid w:val="00DC14DE"/>
    <w:rsid w:val="00E72FEB"/>
    <w:rsid w:val="00E82D5E"/>
    <w:rsid w:val="00EF42CE"/>
    <w:rsid w:val="00F24B0E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058E-670E-421F-846B-9459F579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A7A3-C8A3-4457-BBEC-3DCD6095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Izabela Barto</cp:lastModifiedBy>
  <cp:revision>4</cp:revision>
  <cp:lastPrinted>2017-03-24T11:31:00Z</cp:lastPrinted>
  <dcterms:created xsi:type="dcterms:W3CDTF">2017-03-24T11:20:00Z</dcterms:created>
  <dcterms:modified xsi:type="dcterms:W3CDTF">2017-03-24T11:34:00Z</dcterms:modified>
</cp:coreProperties>
</file>