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D" w:rsidRPr="00BE3645" w:rsidRDefault="00C5169D" w:rsidP="00C5169D">
      <w:pPr>
        <w:tabs>
          <w:tab w:val="left" w:pos="567"/>
        </w:tabs>
        <w:spacing w:before="120" w:after="120" w:line="240" w:lineRule="auto"/>
        <w:ind w:firstLine="0"/>
        <w:jc w:val="both"/>
        <w:rPr>
          <w:rFonts w:eastAsia="Times New Roman"/>
          <w:i/>
          <w:sz w:val="22"/>
          <w:lang w:eastAsia="pl-PL"/>
        </w:rPr>
      </w:pPr>
      <w:bookmarkStart w:id="0" w:name="_Toc434450243"/>
      <w:bookmarkStart w:id="1" w:name="_GoBack"/>
      <w:bookmarkEnd w:id="1"/>
      <w:r w:rsidRPr="00BE3645">
        <w:rPr>
          <w:rFonts w:eastAsia="Times New Roman"/>
          <w:i/>
          <w:sz w:val="22"/>
          <w:lang w:eastAsia="pl-PL"/>
        </w:rPr>
        <w:t xml:space="preserve">Tabela </w:t>
      </w:r>
      <w:r w:rsidRPr="00BE3645">
        <w:rPr>
          <w:rFonts w:eastAsia="Times New Roman"/>
          <w:i/>
          <w:sz w:val="22"/>
          <w:lang w:eastAsia="pl-PL"/>
        </w:rPr>
        <w:fldChar w:fldCharType="begin"/>
      </w:r>
      <w:r w:rsidRPr="00BE3645">
        <w:rPr>
          <w:rFonts w:eastAsia="Times New Roman"/>
          <w:i/>
          <w:sz w:val="22"/>
          <w:lang w:eastAsia="pl-PL"/>
        </w:rPr>
        <w:instrText xml:space="preserve"> SEQ Tabela \* ARABIC </w:instrText>
      </w:r>
      <w:r w:rsidRPr="00BE3645">
        <w:rPr>
          <w:rFonts w:eastAsia="Times New Roman"/>
          <w:i/>
          <w:sz w:val="22"/>
          <w:lang w:eastAsia="pl-PL"/>
        </w:rPr>
        <w:fldChar w:fldCharType="separate"/>
      </w:r>
      <w:r w:rsidRPr="00BE3645">
        <w:rPr>
          <w:rFonts w:eastAsia="Times New Roman"/>
          <w:i/>
          <w:noProof/>
          <w:sz w:val="22"/>
          <w:lang w:eastAsia="pl-PL"/>
        </w:rPr>
        <w:t>54</w:t>
      </w:r>
      <w:r w:rsidRPr="00BE3645">
        <w:rPr>
          <w:rFonts w:eastAsia="Times New Roman"/>
          <w:i/>
          <w:sz w:val="22"/>
          <w:lang w:eastAsia="pl-PL"/>
        </w:rPr>
        <w:fldChar w:fldCharType="end"/>
      </w:r>
      <w:r w:rsidRPr="00BE3645">
        <w:rPr>
          <w:rFonts w:eastAsia="Times New Roman"/>
          <w:i/>
          <w:sz w:val="22"/>
          <w:lang w:eastAsia="pl-PL"/>
        </w:rPr>
        <w:t>. Zestawienie wskaźników monitorowania realizacji działań naprawczych</w:t>
      </w:r>
      <w:bookmarkEnd w:id="0"/>
      <w:r w:rsidRPr="00BE3645">
        <w:rPr>
          <w:rFonts w:eastAsia="Times New Roman"/>
          <w:i/>
          <w:sz w:val="22"/>
          <w:lang w:eastAsia="pl-PL"/>
        </w:rPr>
        <w:t xml:space="preserve"> 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3827"/>
        <w:gridCol w:w="3970"/>
      </w:tblGrid>
      <w:tr w:rsidR="00C5169D" w:rsidRPr="00BE3645" w:rsidTr="00934E44">
        <w:trPr>
          <w:trHeight w:val="600"/>
        </w:trPr>
        <w:tc>
          <w:tcPr>
            <w:tcW w:w="703" w:type="pct"/>
            <w:shd w:val="clear" w:color="000000" w:fill="BFBFBF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Kod działania naprawczego</w:t>
            </w:r>
          </w:p>
        </w:tc>
        <w:tc>
          <w:tcPr>
            <w:tcW w:w="2109" w:type="pct"/>
            <w:shd w:val="clear" w:color="000000" w:fill="BFBFBF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Działanie naprawcze</w:t>
            </w:r>
          </w:p>
        </w:tc>
        <w:tc>
          <w:tcPr>
            <w:tcW w:w="2188" w:type="pct"/>
            <w:shd w:val="clear" w:color="000000" w:fill="BFBFBF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Wskaźniki</w:t>
            </w:r>
          </w:p>
        </w:tc>
      </w:tr>
      <w:tr w:rsidR="00C5169D" w:rsidRPr="00BE3645" w:rsidTr="00934E44">
        <w:trPr>
          <w:trHeight w:val="1515"/>
        </w:trPr>
        <w:tc>
          <w:tcPr>
            <w:tcW w:w="703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OP1_1</w:t>
            </w:r>
          </w:p>
        </w:tc>
        <w:tc>
          <w:tcPr>
            <w:tcW w:w="2109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Wymiana niskosprawnych źródeł spalania paliw na niskoemisyjne w obiektach sektora komunalno-bytowego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wymienionych źródeł spalania [szt.]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Powierzchnia obiektów z wymienionymi źródłami ciepła [m</w:t>
            </w:r>
            <w:r w:rsidRPr="00BE3645">
              <w:rPr>
                <w:rFonts w:eastAsia="Times New Roman"/>
                <w:sz w:val="20"/>
                <w:vertAlign w:val="superscript"/>
                <w:lang w:eastAsia="pl-PL"/>
              </w:rPr>
              <w:t>2</w:t>
            </w:r>
            <w:r w:rsidRPr="00BE3645">
              <w:rPr>
                <w:rFonts w:eastAsia="Times New Roman"/>
                <w:sz w:val="20"/>
                <w:lang w:eastAsia="pl-PL"/>
              </w:rPr>
              <w:t>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 xml:space="preserve">Zmniejszenie emisji B(a)P [kg/rok] </w:t>
            </w:r>
          </w:p>
        </w:tc>
      </w:tr>
      <w:tr w:rsidR="00C5169D" w:rsidRPr="00BE3645" w:rsidTr="00934E44">
        <w:trPr>
          <w:trHeight w:val="1515"/>
        </w:trPr>
        <w:tc>
          <w:tcPr>
            <w:tcW w:w="703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OP1_2</w:t>
            </w:r>
          </w:p>
        </w:tc>
        <w:tc>
          <w:tcPr>
            <w:tcW w:w="2109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</w:rPr>
            </w:pPr>
            <w:r w:rsidRPr="00BE3645">
              <w:rPr>
                <w:rFonts w:eastAsia="Times New Roman"/>
                <w:sz w:val="20"/>
              </w:rPr>
              <w:t>Likwidacja niskosprawnych źródeł spalania paliw i zastąpienie siecią ciepłowniczą lub ogrzewaniem elektrycznym w sektorze komunalno-bytowym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zlikwidowanych źródeł spalania [szt.]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Powierzchnia obiektów ze zlikwidowanymi źródłami ciepła [m</w:t>
            </w:r>
            <w:r w:rsidRPr="00BE3645">
              <w:rPr>
                <w:rFonts w:eastAsia="Times New Roman"/>
                <w:sz w:val="20"/>
                <w:vertAlign w:val="superscript"/>
                <w:lang w:eastAsia="pl-PL"/>
              </w:rPr>
              <w:t>2</w:t>
            </w:r>
            <w:r w:rsidRPr="00BE3645">
              <w:rPr>
                <w:rFonts w:eastAsia="Times New Roman"/>
                <w:sz w:val="20"/>
                <w:lang w:eastAsia="pl-PL"/>
              </w:rPr>
              <w:t>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B(a)P [kg/rok]</w:t>
            </w:r>
          </w:p>
        </w:tc>
      </w:tr>
      <w:tr w:rsidR="00C5169D" w:rsidRPr="00BE3645" w:rsidTr="00934E44">
        <w:trPr>
          <w:trHeight w:val="1515"/>
        </w:trPr>
        <w:tc>
          <w:tcPr>
            <w:tcW w:w="703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OP1_3</w:t>
            </w:r>
          </w:p>
        </w:tc>
        <w:tc>
          <w:tcPr>
            <w:tcW w:w="2109" w:type="pct"/>
            <w:shd w:val="clear" w:color="auto" w:fill="DBE5F1" w:themeFill="accent1" w:themeFillTint="33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Wymiana niskosprawnych źródeł spalania paliw w budynkach użyteczności publicznej 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wymienionych źródeł spalania [szt.]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Powierzchnia obiektów z wymienionymi źródłami ciepła [m</w:t>
            </w:r>
            <w:r w:rsidRPr="00BE3645">
              <w:rPr>
                <w:rFonts w:eastAsia="Times New Roman"/>
                <w:sz w:val="20"/>
                <w:vertAlign w:val="superscript"/>
                <w:lang w:eastAsia="pl-PL"/>
              </w:rPr>
              <w:t>2</w:t>
            </w:r>
            <w:r w:rsidRPr="00BE3645">
              <w:rPr>
                <w:rFonts w:eastAsia="Times New Roman"/>
                <w:sz w:val="20"/>
                <w:lang w:eastAsia="pl-PL"/>
              </w:rPr>
              <w:t>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B(a)P [kg/rok]</w:t>
            </w:r>
          </w:p>
        </w:tc>
      </w:tr>
      <w:tr w:rsidR="00C5169D" w:rsidRPr="00BE3645" w:rsidTr="00934E44">
        <w:trPr>
          <w:trHeight w:val="1515"/>
        </w:trPr>
        <w:tc>
          <w:tcPr>
            <w:tcW w:w="703" w:type="pct"/>
            <w:shd w:val="clear" w:color="auto" w:fill="DBE5F1" w:themeFill="accent1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OP1_4</w:t>
            </w:r>
          </w:p>
        </w:tc>
        <w:tc>
          <w:tcPr>
            <w:tcW w:w="2109" w:type="pct"/>
            <w:shd w:val="clear" w:color="auto" w:fill="DBE5F1" w:themeFill="accent1" w:themeFillTint="33"/>
            <w:noWrap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</w:rPr>
            </w:pPr>
            <w:r w:rsidRPr="00BE3645">
              <w:rPr>
                <w:rFonts w:eastAsia="Times New Roman"/>
                <w:sz w:val="20"/>
              </w:rPr>
              <w:t>Likwidacja niskosprawnych źródeł spalania paliw i zastąpienie siecią ciepłowniczą lub ogrzewaniem elektrycznym w obiektach użyteczności publicznej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zlikwidowanych źródeł spalania [szt.]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Powierzchnia obiektów ze zlikwidowanymi źródłami ciepła [m</w:t>
            </w:r>
            <w:r w:rsidRPr="00BE3645">
              <w:rPr>
                <w:rFonts w:eastAsia="Times New Roman"/>
                <w:sz w:val="20"/>
                <w:vertAlign w:val="superscript"/>
                <w:lang w:eastAsia="pl-PL"/>
              </w:rPr>
              <w:t>2</w:t>
            </w:r>
            <w:r w:rsidRPr="00BE3645">
              <w:rPr>
                <w:rFonts w:eastAsia="Times New Roman"/>
                <w:sz w:val="20"/>
                <w:lang w:eastAsia="pl-PL"/>
              </w:rPr>
              <w:t>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B(a)P [kg/rok]</w:t>
            </w:r>
          </w:p>
        </w:tc>
      </w:tr>
      <w:tr w:rsidR="00C5169D" w:rsidRPr="00BE3645" w:rsidTr="00934E44">
        <w:trPr>
          <w:trHeight w:val="1515"/>
        </w:trPr>
        <w:tc>
          <w:tcPr>
            <w:tcW w:w="703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OP1_5</w:t>
            </w:r>
          </w:p>
        </w:tc>
        <w:tc>
          <w:tcPr>
            <w:tcW w:w="2109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Realizacja Programów ograniczania niskiej emisji lub Planów Gospodarki Niskoemisyjnej na obszarach występowania przekroczeń wartości dopuszczalnych pyłu PM10 i pyłu PM2,5 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zlikwidowanych źródeł spalania [szt.]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wymienionych źródeł spalania [szt.]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B(a)P [kg/rok]</w:t>
            </w:r>
          </w:p>
        </w:tc>
      </w:tr>
      <w:tr w:rsidR="00C5169D" w:rsidRPr="00BE3645" w:rsidTr="00934E44">
        <w:trPr>
          <w:trHeight w:val="410"/>
        </w:trPr>
        <w:tc>
          <w:tcPr>
            <w:tcW w:w="703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OP1_6</w:t>
            </w:r>
          </w:p>
        </w:tc>
        <w:tc>
          <w:tcPr>
            <w:tcW w:w="2109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</w:rPr>
            </w:pPr>
            <w:r w:rsidRPr="00BE3645">
              <w:rPr>
                <w:rFonts w:eastAsia="Times New Roman"/>
                <w:sz w:val="20"/>
              </w:rPr>
              <w:t>Termomodernizacja obiektów budowlanych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 xml:space="preserve">Ilość obiektów poddanych termomodernizacji  [szt.] 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Powierzchnia użytkowa budynku poddanego termomodernizacji [m</w:t>
            </w:r>
            <w:r w:rsidRPr="00BE3645">
              <w:rPr>
                <w:rFonts w:eastAsia="Times New Roman"/>
                <w:sz w:val="20"/>
                <w:vertAlign w:val="superscript"/>
                <w:lang w:eastAsia="pl-PL"/>
              </w:rPr>
              <w:t>2</w:t>
            </w:r>
            <w:r w:rsidRPr="00BE3645">
              <w:rPr>
                <w:rFonts w:eastAsia="Times New Roman"/>
                <w:sz w:val="20"/>
                <w:lang w:eastAsia="pl-PL"/>
              </w:rPr>
              <w:t>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zapotrzebowania na ciepło [GJ/rok]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B(a)P [kg/rok]</w:t>
            </w:r>
          </w:p>
        </w:tc>
      </w:tr>
      <w:tr w:rsidR="00C5169D" w:rsidRPr="00BE3645" w:rsidTr="00934E44">
        <w:trPr>
          <w:trHeight w:val="615"/>
        </w:trPr>
        <w:tc>
          <w:tcPr>
            <w:tcW w:w="703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OP1_7</w:t>
            </w:r>
          </w:p>
        </w:tc>
        <w:tc>
          <w:tcPr>
            <w:tcW w:w="2109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Rozbudowa sieci ciepłowniczej oraz podłączenie nowych obiektów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Długość rozbudowanej sieci ciepłowniczej [km]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Ilość podłączonych nowych obiektów [szt.]</w:t>
            </w:r>
          </w:p>
        </w:tc>
      </w:tr>
      <w:tr w:rsidR="00C5169D" w:rsidRPr="00BE3645" w:rsidTr="00934E44">
        <w:trPr>
          <w:trHeight w:val="655"/>
        </w:trPr>
        <w:tc>
          <w:tcPr>
            <w:tcW w:w="703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OP1_8</w:t>
            </w:r>
          </w:p>
        </w:tc>
        <w:tc>
          <w:tcPr>
            <w:tcW w:w="2109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Rozbudowa sieci gazowej oraz podłączenie nowych obiektów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Długość rozbudowanej sieci gazowej [km]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podłączonych nowych obiektów [szt.]</w:t>
            </w:r>
          </w:p>
        </w:tc>
      </w:tr>
      <w:tr w:rsidR="00C5169D" w:rsidRPr="00BE3645" w:rsidTr="00934E44">
        <w:trPr>
          <w:trHeight w:val="780"/>
        </w:trPr>
        <w:tc>
          <w:tcPr>
            <w:tcW w:w="703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OP1_9</w:t>
            </w:r>
          </w:p>
        </w:tc>
        <w:tc>
          <w:tcPr>
            <w:tcW w:w="2109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Produkcja energii prosumenckiej z odnawialnych źródeł energii w sektorze publicznym i mieszkaniowym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Moc zainstalowanych urządzeń wykorzystujących OZE [MW]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Produkcja energii z odnawialnych źródeł [MWh/rok]</w:t>
            </w:r>
          </w:p>
        </w:tc>
      </w:tr>
      <w:tr w:rsidR="00C5169D" w:rsidRPr="00BE3645" w:rsidTr="00934E44">
        <w:trPr>
          <w:trHeight w:val="315"/>
        </w:trPr>
        <w:tc>
          <w:tcPr>
            <w:tcW w:w="703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OP1_10</w:t>
            </w:r>
          </w:p>
        </w:tc>
        <w:tc>
          <w:tcPr>
            <w:tcW w:w="2109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Budownictwo energooszczędne i pasywne</w:t>
            </w:r>
          </w:p>
        </w:tc>
        <w:tc>
          <w:tcPr>
            <w:tcW w:w="2188" w:type="pct"/>
            <w:shd w:val="clear" w:color="auto" w:fill="DBE5F1" w:themeFill="accent1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budynków oddanych do użytkowania spełniających normy energooszczędności [szt.]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budynków oddanych do użytkowania spełniających normy dla budynków pasywnych [szt.]</w:t>
            </w:r>
          </w:p>
        </w:tc>
      </w:tr>
      <w:tr w:rsidR="00C5169D" w:rsidRPr="00BE3645" w:rsidTr="00934E44">
        <w:trPr>
          <w:trHeight w:val="525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lastRenderedPageBreak/>
              <w:t>OP2_1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Budowa obwodnic miast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Długość wybudowanych obwodnic [km]</w:t>
            </w:r>
          </w:p>
        </w:tc>
      </w:tr>
      <w:tr w:rsidR="00C5169D" w:rsidRPr="00BE3645" w:rsidTr="00934E44">
        <w:trPr>
          <w:trHeight w:val="780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OP2_2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</w:rPr>
            </w:pPr>
            <w:r w:rsidRPr="00BE3645">
              <w:rPr>
                <w:rFonts w:eastAsia="Times New Roman"/>
                <w:sz w:val="20"/>
              </w:rPr>
              <w:t xml:space="preserve">Ograniczenie wjazdu pojazdów o masie powyżej 3,5 Mg do centrum miast 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Nr uchwały rady miasta/gminy</w:t>
            </w:r>
          </w:p>
        </w:tc>
      </w:tr>
      <w:tr w:rsidR="00C5169D" w:rsidRPr="00BE3645" w:rsidTr="00934E44">
        <w:trPr>
          <w:trHeight w:val="525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OP2_3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Wyprowadzenie ruchu tranzytowego z obszarów zwartej zabudowy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Długość nowych odcinków dróg [km]</w:t>
            </w:r>
          </w:p>
        </w:tc>
      </w:tr>
      <w:tr w:rsidR="00C5169D" w:rsidRPr="00BE3645" w:rsidTr="00934E44">
        <w:trPr>
          <w:trHeight w:val="915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OP2_4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Przebudowa i modernizacja dróg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Długość utwardzonych odcinków poboczy [km]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Długość przebudowanych odcinków dróg [km]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Długość utwardzonych odcinków dróg [km]</w:t>
            </w:r>
          </w:p>
        </w:tc>
      </w:tr>
      <w:tr w:rsidR="00C5169D" w:rsidRPr="00BE3645" w:rsidTr="00934E44">
        <w:trPr>
          <w:trHeight w:val="915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OP2_5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Czyszczenie ulic i dróg na mokro  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Długość czyszczonych odcinków dróg [km]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</w:p>
        </w:tc>
      </w:tr>
      <w:tr w:rsidR="00C5169D" w:rsidRPr="00BE3645" w:rsidTr="00934E44">
        <w:trPr>
          <w:trHeight w:val="764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OP2_6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Czyszczenie pojazdów opuszczających place budowy, obszary przeróbki kopalin i obszary o znacznym zapyleniu podłoża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czyszczonych pojazdów [szt.]</w:t>
            </w:r>
          </w:p>
        </w:tc>
      </w:tr>
      <w:tr w:rsidR="00C5169D" w:rsidRPr="00BE3645" w:rsidTr="00934E44">
        <w:trPr>
          <w:trHeight w:val="687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OP2_7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Ograniczenie emisji z transportu materiałów sypkich 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prowadzonych działań według rodzaju [szt.]</w:t>
            </w:r>
          </w:p>
        </w:tc>
      </w:tr>
      <w:tr w:rsidR="00C5169D" w:rsidRPr="00BE3645" w:rsidTr="00934E44">
        <w:trPr>
          <w:trHeight w:val="525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OP2_8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Budowa dróg rowerowych 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Długość odcinków dróg rowerowych [km]</w:t>
            </w:r>
          </w:p>
        </w:tc>
      </w:tr>
      <w:tr w:rsidR="00C5169D" w:rsidRPr="00BE3645" w:rsidTr="00934E44">
        <w:trPr>
          <w:trHeight w:val="615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OP2_9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Wymiana taboru komunikacji publicznej na pojazdy ekologiczne 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wymienionego taboru komunikacji publicznej [szt.] w rozbiciu na rodzaje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B(a)P [kg/rok]</w:t>
            </w:r>
          </w:p>
        </w:tc>
      </w:tr>
      <w:tr w:rsidR="00C5169D" w:rsidRPr="00BE3645" w:rsidTr="00934E44">
        <w:trPr>
          <w:trHeight w:val="1008"/>
        </w:trPr>
        <w:tc>
          <w:tcPr>
            <w:tcW w:w="703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OP2_10</w:t>
            </w:r>
          </w:p>
        </w:tc>
        <w:tc>
          <w:tcPr>
            <w:tcW w:w="2109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Rozwój komunikacji publicznej poprzez modernizację układu komunikacyjnego, rozbudowę tras i integrację systemów komunikacji zbiorowej</w:t>
            </w:r>
          </w:p>
        </w:tc>
        <w:tc>
          <w:tcPr>
            <w:tcW w:w="2188" w:type="pct"/>
            <w:shd w:val="clear" w:color="auto" w:fill="FDE9D9" w:themeFill="accent6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Zmiana ilości pasażerów komunikacji publicznej [osoby]</w:t>
            </w:r>
          </w:p>
        </w:tc>
      </w:tr>
      <w:tr w:rsidR="00C5169D" w:rsidRPr="00BE3645" w:rsidTr="00934E44">
        <w:trPr>
          <w:trHeight w:val="993"/>
        </w:trPr>
        <w:tc>
          <w:tcPr>
            <w:tcW w:w="703" w:type="pct"/>
            <w:shd w:val="clear" w:color="auto" w:fill="E5DFEC" w:themeFill="accent4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OP3_1</w:t>
            </w:r>
          </w:p>
        </w:tc>
        <w:tc>
          <w:tcPr>
            <w:tcW w:w="2109" w:type="pct"/>
            <w:shd w:val="clear" w:color="auto" w:fill="E5DFEC" w:themeFill="accent4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Modernizacja instalacji technologicznych oraz instalacji spalania paliw do celów technologicznych</w:t>
            </w:r>
          </w:p>
        </w:tc>
        <w:tc>
          <w:tcPr>
            <w:tcW w:w="2188" w:type="pct"/>
            <w:shd w:val="clear" w:color="auto" w:fill="E5DFEC" w:themeFill="accent4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B(a)P [kg/rok]</w:t>
            </w:r>
          </w:p>
        </w:tc>
      </w:tr>
      <w:tr w:rsidR="00C5169D" w:rsidRPr="00BE3645" w:rsidTr="00934E44">
        <w:trPr>
          <w:trHeight w:val="980"/>
        </w:trPr>
        <w:tc>
          <w:tcPr>
            <w:tcW w:w="703" w:type="pct"/>
            <w:shd w:val="clear" w:color="auto" w:fill="E5DFEC" w:themeFill="accent4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OP3_2</w:t>
            </w:r>
          </w:p>
        </w:tc>
        <w:tc>
          <w:tcPr>
            <w:tcW w:w="2109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Modernizacje instalacji spalania paliw w ramach sektora energetyki i ciepłownictwa, w tym poprawa sprawności cieplnej</w:t>
            </w:r>
          </w:p>
        </w:tc>
        <w:tc>
          <w:tcPr>
            <w:tcW w:w="2188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B(a)P [kg/rok]</w:t>
            </w:r>
          </w:p>
        </w:tc>
      </w:tr>
      <w:tr w:rsidR="00C5169D" w:rsidRPr="00BE3645" w:rsidTr="00934E44">
        <w:trPr>
          <w:trHeight w:val="844"/>
        </w:trPr>
        <w:tc>
          <w:tcPr>
            <w:tcW w:w="703" w:type="pct"/>
            <w:shd w:val="clear" w:color="auto" w:fill="E5DFEC" w:themeFill="accent4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OP3_3</w:t>
            </w:r>
          </w:p>
        </w:tc>
        <w:tc>
          <w:tcPr>
            <w:tcW w:w="2109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Modernizacja sieci ciepłowniczych</w:t>
            </w:r>
          </w:p>
        </w:tc>
        <w:tc>
          <w:tcPr>
            <w:tcW w:w="2188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Długość zmodernizowanej sieci ciepłowniczej [km]</w:t>
            </w:r>
          </w:p>
        </w:tc>
      </w:tr>
      <w:tr w:rsidR="00C5169D" w:rsidRPr="00BE3645" w:rsidTr="00934E44">
        <w:trPr>
          <w:trHeight w:val="1106"/>
        </w:trPr>
        <w:tc>
          <w:tcPr>
            <w:tcW w:w="703" w:type="pct"/>
            <w:shd w:val="clear" w:color="auto" w:fill="E5DFEC" w:themeFill="accent4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OP3_4</w:t>
            </w:r>
          </w:p>
        </w:tc>
        <w:tc>
          <w:tcPr>
            <w:tcW w:w="2109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Ograniczenie emisji niezorganizowanej w procesach przeróbki kopalin na obszarach zakładów przeróbczych i kopalni odkrywkowych</w:t>
            </w:r>
          </w:p>
        </w:tc>
        <w:tc>
          <w:tcPr>
            <w:tcW w:w="2188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</w:p>
        </w:tc>
      </w:tr>
      <w:tr w:rsidR="00C5169D" w:rsidRPr="00BE3645" w:rsidTr="00934E44">
        <w:trPr>
          <w:trHeight w:val="780"/>
        </w:trPr>
        <w:tc>
          <w:tcPr>
            <w:tcW w:w="703" w:type="pct"/>
            <w:shd w:val="clear" w:color="auto" w:fill="E5DFEC" w:themeFill="accent4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OP3_5</w:t>
            </w:r>
          </w:p>
        </w:tc>
        <w:tc>
          <w:tcPr>
            <w:tcW w:w="2109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Modernizacja systemów przechwytywania zanieczyszczeń </w:t>
            </w:r>
          </w:p>
        </w:tc>
        <w:tc>
          <w:tcPr>
            <w:tcW w:w="2188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B(a)P [kg/rok]</w:t>
            </w:r>
          </w:p>
        </w:tc>
      </w:tr>
      <w:tr w:rsidR="00C5169D" w:rsidRPr="00BE3645" w:rsidTr="00934E44">
        <w:trPr>
          <w:trHeight w:val="712"/>
        </w:trPr>
        <w:tc>
          <w:tcPr>
            <w:tcW w:w="703" w:type="pct"/>
            <w:shd w:val="clear" w:color="auto" w:fill="E5DFEC" w:themeFill="accent4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OP3_6</w:t>
            </w:r>
          </w:p>
        </w:tc>
        <w:tc>
          <w:tcPr>
            <w:tcW w:w="2109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Nasadzenia zieleni wokół obszarów prowadzenia robót przeróbczych i otwartych składów magazynowych materiałów sypkich</w:t>
            </w:r>
          </w:p>
        </w:tc>
        <w:tc>
          <w:tcPr>
            <w:tcW w:w="2188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Obszar nowych nasadzeń zieleni [ha]</w:t>
            </w:r>
          </w:p>
        </w:tc>
      </w:tr>
      <w:tr w:rsidR="00C5169D" w:rsidRPr="00BE3645" w:rsidTr="00934E44">
        <w:trPr>
          <w:trHeight w:val="693"/>
        </w:trPr>
        <w:tc>
          <w:tcPr>
            <w:tcW w:w="703" w:type="pct"/>
            <w:shd w:val="clear" w:color="auto" w:fill="E5DFEC" w:themeFill="accent4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OP3_7</w:t>
            </w:r>
          </w:p>
        </w:tc>
        <w:tc>
          <w:tcPr>
            <w:tcW w:w="2109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Zraszanie pryzm materiałów sypkich </w:t>
            </w:r>
          </w:p>
        </w:tc>
        <w:tc>
          <w:tcPr>
            <w:tcW w:w="2188" w:type="pct"/>
            <w:shd w:val="clear" w:color="auto" w:fill="E5DFEC" w:themeFill="accent4" w:themeFillTint="33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Zmniejszenie emisji pyłu PM10 [Mg/rok]</w:t>
            </w:r>
            <w:r w:rsidRPr="00BE3645">
              <w:rPr>
                <w:rFonts w:eastAsia="Times New Roman"/>
                <w:sz w:val="20"/>
                <w:lang w:eastAsia="pl-PL"/>
              </w:rPr>
              <w:br/>
              <w:t>Zmniejszenie emisji pyłu PM2,5 [Mg/rok]</w:t>
            </w:r>
          </w:p>
        </w:tc>
      </w:tr>
      <w:tr w:rsidR="00C5169D" w:rsidRPr="00BE3645" w:rsidTr="00934E44">
        <w:trPr>
          <w:trHeight w:val="1142"/>
        </w:trPr>
        <w:tc>
          <w:tcPr>
            <w:tcW w:w="703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lastRenderedPageBreak/>
              <w:t>OP4_1</w:t>
            </w:r>
          </w:p>
        </w:tc>
        <w:tc>
          <w:tcPr>
            <w:tcW w:w="2109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Opracowanie planów zagospodarowania przestrzennego dla obszarów występowania przekroczeń wartości normatywnych stężeń substancji </w:t>
            </w:r>
          </w:p>
        </w:tc>
        <w:tc>
          <w:tcPr>
            <w:tcW w:w="2188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opracowanych lub zmienionych planów zagospodarowania przestrzennego [szt.]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Zastosowane rozwiązania - opis</w:t>
            </w:r>
          </w:p>
        </w:tc>
      </w:tr>
      <w:tr w:rsidR="00C5169D" w:rsidRPr="00BE3645" w:rsidTr="00934E44">
        <w:trPr>
          <w:trHeight w:val="615"/>
        </w:trPr>
        <w:tc>
          <w:tcPr>
            <w:tcW w:w="703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OP4_2</w:t>
            </w:r>
          </w:p>
        </w:tc>
        <w:tc>
          <w:tcPr>
            <w:tcW w:w="2109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Uwzględnianie korytarzy przewietrzania miasta w pracach planistycznych </w:t>
            </w:r>
          </w:p>
        </w:tc>
        <w:tc>
          <w:tcPr>
            <w:tcW w:w="2188" w:type="pct"/>
            <w:shd w:val="clear" w:color="auto" w:fill="EAF1DD" w:themeFill="accent3" w:themeFillTint="33"/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planów uwzględniających zmiany w zakresie przewietrzania miasta [szt.]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Zastosowane rozwiązania - opis</w:t>
            </w:r>
          </w:p>
        </w:tc>
      </w:tr>
      <w:tr w:rsidR="00C5169D" w:rsidRPr="00BE3645" w:rsidTr="00934E44">
        <w:trPr>
          <w:trHeight w:val="1267"/>
        </w:trPr>
        <w:tc>
          <w:tcPr>
            <w:tcW w:w="703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OP4_3</w:t>
            </w:r>
          </w:p>
        </w:tc>
        <w:tc>
          <w:tcPr>
            <w:tcW w:w="2109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Wprowadzanie zapisów do planów zagospodarowania przestrzennego, dotyczących ograniczeń budowy obiektów mogących powodować wzmożone natężenie ruchu </w:t>
            </w:r>
          </w:p>
        </w:tc>
        <w:tc>
          <w:tcPr>
            <w:tcW w:w="2188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planów zawierających ograniczenia [szt.] Zastosowane rozwiązania - opis</w:t>
            </w:r>
          </w:p>
        </w:tc>
      </w:tr>
      <w:tr w:rsidR="00C5169D" w:rsidRPr="00BE3645" w:rsidTr="00934E44">
        <w:trPr>
          <w:trHeight w:val="610"/>
        </w:trPr>
        <w:tc>
          <w:tcPr>
            <w:tcW w:w="703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OP4_4</w:t>
            </w:r>
          </w:p>
        </w:tc>
        <w:tc>
          <w:tcPr>
            <w:tcW w:w="2109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Rozbudowa zielonej infrastruktury </w:t>
            </w:r>
          </w:p>
        </w:tc>
        <w:tc>
          <w:tcPr>
            <w:tcW w:w="2188" w:type="pct"/>
            <w:shd w:val="clear" w:color="auto" w:fill="EAF1DD" w:themeFill="accent3" w:themeFillTint="33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zrealizowanych inwestycji w danym roku w podziale na rodzaje [szt./m</w:t>
            </w:r>
            <w:r w:rsidRPr="00BE3645">
              <w:rPr>
                <w:rFonts w:eastAsia="Times New Roman"/>
                <w:sz w:val="20"/>
                <w:vertAlign w:val="superscript"/>
                <w:lang w:eastAsia="pl-PL"/>
              </w:rPr>
              <w:t>2</w:t>
            </w:r>
            <w:r w:rsidRPr="00BE3645">
              <w:rPr>
                <w:rFonts w:eastAsia="Times New Roman"/>
                <w:sz w:val="20"/>
                <w:lang w:eastAsia="pl-PL"/>
              </w:rPr>
              <w:t>/km]</w:t>
            </w:r>
          </w:p>
        </w:tc>
      </w:tr>
      <w:tr w:rsidR="00C5169D" w:rsidRPr="00BE3645" w:rsidTr="00934E44">
        <w:trPr>
          <w:trHeight w:val="728"/>
        </w:trPr>
        <w:tc>
          <w:tcPr>
            <w:tcW w:w="703" w:type="pct"/>
            <w:shd w:val="clear" w:color="000000" w:fill="FFFFFF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OP5_1</w:t>
            </w:r>
          </w:p>
        </w:tc>
        <w:tc>
          <w:tcPr>
            <w:tcW w:w="2109" w:type="pct"/>
            <w:shd w:val="clear" w:color="000000" w:fill="FFFFFF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>Prowadzenie edukacji ekologicznej</w:t>
            </w:r>
          </w:p>
        </w:tc>
        <w:tc>
          <w:tcPr>
            <w:tcW w:w="2188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zrealizowanych akcji w danym roku [szt.] w podziale na rodzaje</w:t>
            </w:r>
          </w:p>
        </w:tc>
      </w:tr>
      <w:tr w:rsidR="00C5169D" w:rsidRPr="00BE3645" w:rsidTr="00934E44">
        <w:trPr>
          <w:trHeight w:val="530"/>
        </w:trPr>
        <w:tc>
          <w:tcPr>
            <w:tcW w:w="703" w:type="pct"/>
            <w:shd w:val="clear" w:color="000000" w:fill="FFFFFF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OP5_2</w:t>
            </w:r>
          </w:p>
        </w:tc>
        <w:tc>
          <w:tcPr>
            <w:tcW w:w="2109" w:type="pct"/>
            <w:shd w:val="clear" w:color="000000" w:fill="FFFFFF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</w:rPr>
              <w:t xml:space="preserve">Informowanie społeczeństwa o jakości powietrza </w:t>
            </w:r>
          </w:p>
        </w:tc>
        <w:tc>
          <w:tcPr>
            <w:tcW w:w="2188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Ilość nowych zastosowanych sposobów przekazywania informacji w danym roku w podziale na formy [szt.]</w:t>
            </w:r>
          </w:p>
        </w:tc>
      </w:tr>
    </w:tbl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>Efekt ekologiczny realizacji zadań należy wyznaczyć na podstawie wskaźników zamieszczonych w poniższych tabelach.</w:t>
      </w:r>
    </w:p>
    <w:p w:rsidR="00C5169D" w:rsidRPr="00BE3645" w:rsidRDefault="00C5169D" w:rsidP="00C5169D">
      <w:pPr>
        <w:tabs>
          <w:tab w:val="left" w:pos="567"/>
        </w:tabs>
        <w:spacing w:before="120" w:after="120" w:line="240" w:lineRule="auto"/>
        <w:ind w:firstLine="0"/>
        <w:jc w:val="both"/>
        <w:rPr>
          <w:rFonts w:eastAsia="Times New Roman"/>
          <w:i/>
          <w:sz w:val="22"/>
          <w:lang w:eastAsia="pl-PL"/>
        </w:rPr>
      </w:pPr>
      <w:bookmarkStart w:id="2" w:name="_Toc371427275"/>
      <w:bookmarkStart w:id="3" w:name="_Toc420675145"/>
      <w:bookmarkStart w:id="4" w:name="_Toc434450244"/>
      <w:r w:rsidRPr="00BE3645">
        <w:rPr>
          <w:rFonts w:eastAsia="Times New Roman"/>
          <w:i/>
          <w:sz w:val="22"/>
          <w:lang w:eastAsia="pl-PL"/>
        </w:rPr>
        <w:t xml:space="preserve">Tabela </w:t>
      </w:r>
      <w:r w:rsidRPr="00BE3645">
        <w:rPr>
          <w:rFonts w:eastAsia="Times New Roman"/>
          <w:i/>
          <w:sz w:val="22"/>
          <w:lang w:eastAsia="pl-PL"/>
        </w:rPr>
        <w:fldChar w:fldCharType="begin"/>
      </w:r>
      <w:r w:rsidRPr="00BE3645">
        <w:rPr>
          <w:rFonts w:eastAsia="Times New Roman"/>
          <w:i/>
          <w:sz w:val="22"/>
          <w:lang w:eastAsia="pl-PL"/>
        </w:rPr>
        <w:instrText xml:space="preserve"> SEQ Tabela \* ARABIC </w:instrText>
      </w:r>
      <w:r w:rsidRPr="00BE3645">
        <w:rPr>
          <w:rFonts w:eastAsia="Times New Roman"/>
          <w:i/>
          <w:sz w:val="22"/>
          <w:lang w:eastAsia="pl-PL"/>
        </w:rPr>
        <w:fldChar w:fldCharType="separate"/>
      </w:r>
      <w:r w:rsidRPr="00BE3645">
        <w:rPr>
          <w:rFonts w:eastAsia="Times New Roman"/>
          <w:i/>
          <w:noProof/>
          <w:sz w:val="22"/>
          <w:lang w:eastAsia="pl-PL"/>
        </w:rPr>
        <w:t>55</w:t>
      </w:r>
      <w:r w:rsidRPr="00BE3645">
        <w:rPr>
          <w:rFonts w:eastAsia="Times New Roman"/>
          <w:i/>
          <w:sz w:val="22"/>
          <w:lang w:eastAsia="pl-PL"/>
        </w:rPr>
        <w:fldChar w:fldCharType="end"/>
      </w:r>
      <w:r w:rsidRPr="00BE3645">
        <w:rPr>
          <w:rFonts w:eastAsia="Times New Roman"/>
          <w:i/>
          <w:sz w:val="22"/>
          <w:lang w:eastAsia="pl-PL"/>
        </w:rPr>
        <w:t xml:space="preserve">. Średnie wskaźniki emisji dla inwestycji związanych z wymianą indywidualnych systemów </w:t>
      </w:r>
      <w:bookmarkEnd w:id="2"/>
      <w:bookmarkEnd w:id="3"/>
      <w:r w:rsidRPr="00BE3645">
        <w:rPr>
          <w:rFonts w:eastAsia="Times New Roman"/>
          <w:i/>
          <w:sz w:val="22"/>
          <w:lang w:eastAsia="pl-PL"/>
        </w:rPr>
        <w:t>grzewczych</w:t>
      </w:r>
      <w:bookmarkEnd w:id="4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983"/>
        <w:gridCol w:w="1061"/>
        <w:gridCol w:w="40"/>
        <w:gridCol w:w="1287"/>
        <w:gridCol w:w="40"/>
        <w:gridCol w:w="837"/>
        <w:gridCol w:w="21"/>
        <w:gridCol w:w="946"/>
        <w:gridCol w:w="995"/>
        <w:gridCol w:w="1327"/>
      </w:tblGrid>
      <w:tr w:rsidR="00C5169D" w:rsidRPr="00BE3645" w:rsidTr="00934E44">
        <w:trPr>
          <w:trHeight w:val="169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Zanieczyszczenie</w:t>
            </w:r>
          </w:p>
        </w:tc>
        <w:tc>
          <w:tcPr>
            <w:tcW w:w="7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Wskaźniki emisji</w:t>
            </w:r>
          </w:p>
        </w:tc>
      </w:tr>
      <w:tr w:rsidR="00C5169D" w:rsidRPr="00BE3645" w:rsidTr="00934E4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jednostka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Paliwo stałe</w:t>
            </w:r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(z wyłączeniem biomasy)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Gaz ziemny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Olej opałowy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Biomasa drewno</w:t>
            </w:r>
          </w:p>
        </w:tc>
      </w:tr>
      <w:tr w:rsidR="00C5169D" w:rsidRPr="00BE3645" w:rsidTr="00934E4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Kotły starej generacji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Kotły automatyczne nowej generacji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Kotły starej generacji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Kotły automatyczne nowej generacji</w:t>
            </w:r>
          </w:p>
        </w:tc>
      </w:tr>
      <w:tr w:rsidR="00C5169D" w:rsidRPr="00BE3645" w:rsidTr="00934E44">
        <w:trPr>
          <w:trHeight w:val="363"/>
        </w:trPr>
        <w:tc>
          <w:tcPr>
            <w:tcW w:w="91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Źródła poniżej 50 KW</w:t>
            </w:r>
          </w:p>
        </w:tc>
      </w:tr>
      <w:tr w:rsidR="00C5169D" w:rsidRPr="00BE3645" w:rsidTr="00934E44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Pył PM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g/GJ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225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0,5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480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34</w:t>
            </w:r>
          </w:p>
        </w:tc>
      </w:tr>
      <w:tr w:rsidR="00C5169D" w:rsidRPr="00BE3645" w:rsidTr="00934E44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Pył PM 2,5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g/GJ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201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0,5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470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33</w:t>
            </w:r>
          </w:p>
        </w:tc>
      </w:tr>
      <w:tr w:rsidR="00C5169D" w:rsidRPr="00BE3645" w:rsidTr="00934E44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Benzo(a)piren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mg/GJ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270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0,079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no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121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10</w:t>
            </w:r>
          </w:p>
        </w:tc>
      </w:tr>
      <w:tr w:rsidR="00C5169D" w:rsidRPr="00BE3645" w:rsidTr="00934E44">
        <w:trPr>
          <w:trHeight w:val="407"/>
        </w:trPr>
        <w:tc>
          <w:tcPr>
            <w:tcW w:w="91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Źródła od 50kW do 1 MW</w:t>
            </w:r>
          </w:p>
        </w:tc>
      </w:tr>
      <w:tr w:rsidR="00C5169D" w:rsidRPr="00BE3645" w:rsidTr="00934E44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Pył PM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g/GJ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190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78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0,5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34</w:t>
            </w:r>
          </w:p>
        </w:tc>
      </w:tr>
      <w:tr w:rsidR="00C5169D" w:rsidRPr="00BE3645" w:rsidTr="00934E44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Pył PM 2,5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g/GJ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170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0,5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33</w:t>
            </w:r>
          </w:p>
        </w:tc>
      </w:tr>
      <w:tr w:rsidR="00C5169D" w:rsidRPr="00BE3645" w:rsidTr="00934E44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Benzo(a)piren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mg/GJ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100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0,079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no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50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10</w:t>
            </w:r>
          </w:p>
        </w:tc>
      </w:tr>
    </w:tbl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>W przypadku obiektów użyteczności publicznej zasilanych ze źródła o mocy powyżej 1 MW przy zastosowaniu wymiany lub likwidacji źródła ciepła należy zastosować wskaźniki z tabeli 56.</w:t>
      </w:r>
    </w:p>
    <w:p w:rsidR="00C5169D" w:rsidRPr="00BE3645" w:rsidRDefault="00C5169D" w:rsidP="00C5169D">
      <w:pPr>
        <w:tabs>
          <w:tab w:val="left" w:pos="567"/>
        </w:tabs>
        <w:spacing w:before="120" w:after="120" w:line="240" w:lineRule="auto"/>
        <w:ind w:firstLine="0"/>
        <w:jc w:val="both"/>
        <w:rPr>
          <w:rFonts w:eastAsia="Times New Roman"/>
          <w:i/>
          <w:sz w:val="22"/>
          <w:lang w:eastAsia="pl-PL"/>
        </w:rPr>
      </w:pPr>
      <w:bookmarkStart w:id="5" w:name="_Toc434450245"/>
      <w:r w:rsidRPr="00BE3645">
        <w:rPr>
          <w:rFonts w:eastAsia="Times New Roman"/>
          <w:i/>
          <w:sz w:val="22"/>
          <w:lang w:eastAsia="pl-PL"/>
        </w:rPr>
        <w:t xml:space="preserve">Tabela </w:t>
      </w:r>
      <w:r w:rsidRPr="00BE3645">
        <w:rPr>
          <w:rFonts w:eastAsia="Times New Roman"/>
          <w:i/>
          <w:sz w:val="22"/>
          <w:lang w:eastAsia="pl-PL"/>
        </w:rPr>
        <w:fldChar w:fldCharType="begin"/>
      </w:r>
      <w:r w:rsidRPr="00BE3645">
        <w:rPr>
          <w:rFonts w:eastAsia="Times New Roman"/>
          <w:i/>
          <w:sz w:val="22"/>
          <w:lang w:eastAsia="pl-PL"/>
        </w:rPr>
        <w:instrText xml:space="preserve"> SEQ Tabela \* ARABIC </w:instrText>
      </w:r>
      <w:r w:rsidRPr="00BE3645">
        <w:rPr>
          <w:rFonts w:eastAsia="Times New Roman"/>
          <w:i/>
          <w:sz w:val="22"/>
          <w:lang w:eastAsia="pl-PL"/>
        </w:rPr>
        <w:fldChar w:fldCharType="separate"/>
      </w:r>
      <w:r w:rsidRPr="00BE3645">
        <w:rPr>
          <w:rFonts w:eastAsia="Times New Roman"/>
          <w:i/>
          <w:noProof/>
          <w:sz w:val="22"/>
          <w:lang w:eastAsia="pl-PL"/>
        </w:rPr>
        <w:t>56</w:t>
      </w:r>
      <w:r w:rsidRPr="00BE3645">
        <w:rPr>
          <w:rFonts w:eastAsia="Times New Roman"/>
          <w:i/>
          <w:noProof/>
          <w:sz w:val="22"/>
          <w:lang w:eastAsia="pl-PL"/>
        </w:rPr>
        <w:fldChar w:fldCharType="end"/>
      </w:r>
      <w:r w:rsidRPr="00BE3645">
        <w:rPr>
          <w:rFonts w:eastAsia="Times New Roman"/>
          <w:i/>
          <w:sz w:val="22"/>
          <w:lang w:eastAsia="pl-PL"/>
        </w:rPr>
        <w:t>. Średnie wskaźniki emisji dla inwestycji związanych z wymianą indywidualnych systemów grzewczych dla źródeł powyżej 1 MW</w:t>
      </w:r>
      <w:bookmarkEnd w:id="5"/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1090"/>
        <w:gridCol w:w="1840"/>
        <w:gridCol w:w="1413"/>
        <w:gridCol w:w="1413"/>
        <w:gridCol w:w="1462"/>
      </w:tblGrid>
      <w:tr w:rsidR="00C5169D" w:rsidRPr="00BE3645" w:rsidTr="00934E44">
        <w:tc>
          <w:tcPr>
            <w:tcW w:w="10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Zanieczyszczenie</w:t>
            </w:r>
          </w:p>
        </w:tc>
        <w:tc>
          <w:tcPr>
            <w:tcW w:w="39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Wskaźniki emisji</w:t>
            </w:r>
          </w:p>
        </w:tc>
      </w:tr>
      <w:tr w:rsidR="00C5169D" w:rsidRPr="00BE3645" w:rsidTr="00934E44"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bookmarkStart w:id="6" w:name="_Toc433032029"/>
            <w:r w:rsidRPr="00BE3645">
              <w:rPr>
                <w:rFonts w:eastAsia="Times New Roman"/>
                <w:sz w:val="20"/>
                <w:lang w:eastAsia="pl-PL"/>
              </w:rPr>
              <w:t>jednostka</w:t>
            </w:r>
            <w:bookmarkEnd w:id="6"/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bookmarkStart w:id="7" w:name="_Toc433032030"/>
            <w:r w:rsidRPr="00BE3645">
              <w:rPr>
                <w:rFonts w:eastAsia="Times New Roman"/>
                <w:sz w:val="20"/>
                <w:lang w:eastAsia="pl-PL"/>
              </w:rPr>
              <w:t>Paliwo stałe</w:t>
            </w:r>
            <w:bookmarkEnd w:id="7"/>
          </w:p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bookmarkStart w:id="8" w:name="_Toc433032031"/>
            <w:r w:rsidRPr="00BE3645">
              <w:rPr>
                <w:rFonts w:eastAsia="Times New Roman"/>
                <w:sz w:val="20"/>
                <w:lang w:eastAsia="pl-PL"/>
              </w:rPr>
              <w:t>(z wyłączeniem biomasy)</w:t>
            </w:r>
            <w:bookmarkEnd w:id="8"/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bookmarkStart w:id="9" w:name="_Toc433032032"/>
            <w:r w:rsidRPr="00BE3645">
              <w:rPr>
                <w:rFonts w:eastAsia="Times New Roman"/>
                <w:sz w:val="20"/>
                <w:lang w:eastAsia="pl-PL"/>
              </w:rPr>
              <w:t>Gaz ziemny</w:t>
            </w:r>
            <w:bookmarkEnd w:id="9"/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bookmarkStart w:id="10" w:name="_Toc433032033"/>
            <w:r w:rsidRPr="00BE3645">
              <w:rPr>
                <w:rFonts w:eastAsia="Times New Roman"/>
                <w:sz w:val="20"/>
                <w:lang w:eastAsia="pl-PL"/>
              </w:rPr>
              <w:t>Olej opałowy</w:t>
            </w:r>
            <w:bookmarkEnd w:id="10"/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bookmarkStart w:id="11" w:name="_Toc433032034"/>
            <w:r w:rsidRPr="00BE3645">
              <w:rPr>
                <w:rFonts w:eastAsia="Times New Roman"/>
                <w:sz w:val="20"/>
                <w:lang w:eastAsia="pl-PL"/>
              </w:rPr>
              <w:t>Biomasa drewno</w:t>
            </w:r>
            <w:bookmarkEnd w:id="11"/>
          </w:p>
        </w:tc>
      </w:tr>
      <w:tr w:rsidR="00C5169D" w:rsidRPr="00BE3645" w:rsidTr="00934E44"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Pył PM 10,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g/GJ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76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0,5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76</w:t>
            </w:r>
          </w:p>
        </w:tc>
      </w:tr>
      <w:tr w:rsidR="00C5169D" w:rsidRPr="00BE3645" w:rsidTr="00934E44"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Pył PM 2,5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g/GJ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0,5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76</w:t>
            </w:r>
          </w:p>
        </w:tc>
      </w:tr>
      <w:tr w:rsidR="00C5169D" w:rsidRPr="00BE3645" w:rsidTr="00934E44"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Benzo(a)piren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mg/GJ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no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50</w:t>
            </w:r>
          </w:p>
        </w:tc>
      </w:tr>
    </w:tbl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lastRenderedPageBreak/>
        <w:t>Uzyskany efekt ekologiczny wymiany źródeł ciepła należy wyliczyć dla poszczególnych zadań jako różnicę między wielkością emisji przed i po realizacji działania. Wielkość emisji wylicza się jako iloczyn powierzchni lokalu, w którym realizowane było działanie, wskaźnika zapotrzebowania na ciepło według tabeli 57 oraz wskaźników emisji z tabel 55 i 56.</w:t>
      </w:r>
    </w:p>
    <w:p w:rsidR="00C5169D" w:rsidRPr="00BE3645" w:rsidRDefault="00C5169D" w:rsidP="00C5169D">
      <w:pPr>
        <w:tabs>
          <w:tab w:val="left" w:pos="567"/>
        </w:tabs>
        <w:spacing w:before="120" w:after="120" w:line="240" w:lineRule="auto"/>
        <w:ind w:firstLine="0"/>
        <w:jc w:val="both"/>
        <w:rPr>
          <w:rFonts w:eastAsia="Times New Roman"/>
          <w:b/>
          <w:i/>
          <w:sz w:val="22"/>
          <w:lang w:eastAsia="pl-PL"/>
        </w:rPr>
      </w:pPr>
      <w:bookmarkStart w:id="12" w:name="_Toc434450246"/>
      <w:r w:rsidRPr="00BE3645">
        <w:rPr>
          <w:rFonts w:eastAsia="Times New Roman"/>
          <w:i/>
          <w:sz w:val="22"/>
          <w:lang w:eastAsia="pl-PL"/>
        </w:rPr>
        <w:t xml:space="preserve">Tabela </w:t>
      </w:r>
      <w:r w:rsidRPr="00BE3645">
        <w:rPr>
          <w:rFonts w:eastAsia="Times New Roman"/>
          <w:i/>
          <w:sz w:val="22"/>
          <w:lang w:eastAsia="pl-PL"/>
        </w:rPr>
        <w:fldChar w:fldCharType="begin"/>
      </w:r>
      <w:r w:rsidRPr="00BE3645">
        <w:rPr>
          <w:rFonts w:eastAsia="Times New Roman"/>
          <w:i/>
          <w:sz w:val="22"/>
          <w:lang w:eastAsia="pl-PL"/>
        </w:rPr>
        <w:instrText xml:space="preserve"> SEQ Tabela \* ARABIC </w:instrText>
      </w:r>
      <w:r w:rsidRPr="00BE3645">
        <w:rPr>
          <w:rFonts w:eastAsia="Times New Roman"/>
          <w:i/>
          <w:sz w:val="22"/>
          <w:lang w:eastAsia="pl-PL"/>
        </w:rPr>
        <w:fldChar w:fldCharType="separate"/>
      </w:r>
      <w:r w:rsidRPr="00BE3645">
        <w:rPr>
          <w:rFonts w:eastAsia="Times New Roman"/>
          <w:i/>
          <w:noProof/>
          <w:sz w:val="22"/>
          <w:lang w:eastAsia="pl-PL"/>
        </w:rPr>
        <w:t>57</w:t>
      </w:r>
      <w:r w:rsidRPr="00BE3645">
        <w:rPr>
          <w:rFonts w:eastAsia="Times New Roman"/>
          <w:i/>
          <w:noProof/>
          <w:sz w:val="22"/>
          <w:lang w:eastAsia="pl-PL"/>
        </w:rPr>
        <w:fldChar w:fldCharType="end"/>
      </w:r>
      <w:r w:rsidRPr="00BE3645">
        <w:rPr>
          <w:rFonts w:eastAsia="Times New Roman"/>
          <w:i/>
          <w:sz w:val="22"/>
          <w:lang w:eastAsia="pl-PL"/>
        </w:rPr>
        <w:t>. Średnie wielkości zapotrzebowania na ciepło dla budynków wybudowanych w latach 1918-2014 w powiatach stref województwa świętokrzyskiego</w:t>
      </w:r>
      <w:bookmarkEnd w:id="12"/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  <w:gridCol w:w="4710"/>
      </w:tblGrid>
      <w:tr w:rsidR="00C5169D" w:rsidRPr="00BE3645" w:rsidTr="00934E44">
        <w:trPr>
          <w:trHeight w:val="487"/>
          <w:tblHeader/>
        </w:trPr>
        <w:tc>
          <w:tcPr>
            <w:tcW w:w="2404" w:type="pct"/>
            <w:shd w:val="clear" w:color="auto" w:fill="D9D9D9" w:themeFill="background1" w:themeFillShade="D9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Powiat</w:t>
            </w:r>
          </w:p>
        </w:tc>
        <w:tc>
          <w:tcPr>
            <w:tcW w:w="2596" w:type="pct"/>
            <w:shd w:val="clear" w:color="auto" w:fill="D9D9D9" w:themeFill="background1" w:themeFillShade="D9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Średnie zapotrzebowanie na ciepło budynków [GJ/m</w:t>
            </w:r>
            <w:r w:rsidRPr="00BE3645">
              <w:rPr>
                <w:rFonts w:eastAsia="Times New Roman"/>
                <w:sz w:val="20"/>
                <w:vertAlign w:val="superscript"/>
                <w:lang w:eastAsia="pl-PL"/>
              </w:rPr>
              <w:t>2</w:t>
            </w:r>
            <w:r w:rsidRPr="00BE3645">
              <w:rPr>
                <w:rFonts w:eastAsia="Times New Roman"/>
                <w:sz w:val="20"/>
                <w:lang w:eastAsia="pl-PL"/>
              </w:rPr>
              <w:t>]</w:t>
            </w:r>
          </w:p>
        </w:tc>
      </w:tr>
      <w:tr w:rsidR="00C5169D" w:rsidRPr="00BE3645" w:rsidTr="00934E44">
        <w:trPr>
          <w:trHeight w:val="3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strefa miasto Kielce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Kielce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1,092</w:t>
            </w:r>
          </w:p>
        </w:tc>
      </w:tr>
      <w:tr w:rsidR="00C5169D" w:rsidRPr="00BE3645" w:rsidTr="00934E44">
        <w:trPr>
          <w:trHeight w:val="3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strefa świętokrzyska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buski</w:t>
            </w:r>
          </w:p>
        </w:tc>
        <w:tc>
          <w:tcPr>
            <w:tcW w:w="2596" w:type="pct"/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1,131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kazimierski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1,210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kielecki</w:t>
            </w:r>
          </w:p>
        </w:tc>
        <w:tc>
          <w:tcPr>
            <w:tcW w:w="2596" w:type="pct"/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1,021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konecki</w:t>
            </w:r>
          </w:p>
        </w:tc>
        <w:tc>
          <w:tcPr>
            <w:tcW w:w="2596" w:type="pct"/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1,140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jędrzejowski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1,144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opatowski</w:t>
            </w:r>
          </w:p>
        </w:tc>
        <w:tc>
          <w:tcPr>
            <w:tcW w:w="2596" w:type="pct"/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1,136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ostrowiecki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1,130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pińczowski</w:t>
            </w:r>
          </w:p>
        </w:tc>
        <w:tc>
          <w:tcPr>
            <w:tcW w:w="2596" w:type="pct"/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1,155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sandomierski</w:t>
            </w:r>
          </w:p>
        </w:tc>
        <w:tc>
          <w:tcPr>
            <w:tcW w:w="2596" w:type="pct"/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1,138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skarżyski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1,170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starachowicki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1,156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staszowski</w:t>
            </w:r>
          </w:p>
        </w:tc>
        <w:tc>
          <w:tcPr>
            <w:tcW w:w="2596" w:type="pct"/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1,060</w:t>
            </w:r>
          </w:p>
        </w:tc>
      </w:tr>
      <w:tr w:rsidR="00C5169D" w:rsidRPr="00BE3645" w:rsidTr="00934E44">
        <w:trPr>
          <w:trHeight w:val="337"/>
        </w:trPr>
        <w:tc>
          <w:tcPr>
            <w:tcW w:w="2404" w:type="pct"/>
            <w:shd w:val="clear" w:color="auto" w:fill="auto"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włoszczowski</w:t>
            </w:r>
          </w:p>
        </w:tc>
        <w:tc>
          <w:tcPr>
            <w:tcW w:w="2596" w:type="pct"/>
            <w:shd w:val="clear" w:color="auto" w:fill="auto"/>
            <w:noWrap/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1,092</w:t>
            </w:r>
          </w:p>
        </w:tc>
      </w:tr>
    </w:tbl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 xml:space="preserve">W przypadku likwidacji indywidualnych węglowych źródeł ciepła i zamiany sposobu ogrzewania lub wytwarzania ciepłej wody użytkowej na źródła elektryczne (piece, grzałki, pompy ciepła, bojlery, ogrzewacze ciepłej wody użytkowej itp.), efekt redukcji pyłu PM10, PM2,5 i B(a)P należy określić jako 100% dotychczasowej emisji. </w:t>
      </w:r>
    </w:p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 xml:space="preserve">W przypadku likwidacji indywidualnych węglowych źródeł ciepła i podłączenia odbiorców do sieci ciepłowniczych zasilanych ze źródeł powyżej 50 MW efekt redukcji pyłu PM10, PM2,5 i B(a)P należy określić jako 100% dotychczasowej emisji. </w:t>
      </w:r>
    </w:p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>Przy zadaniach termomodernizacyjnych efekt ekologiczny redukcji zanieczyszczeń wynika z różnicy pomiędzy ilością energii dostarczanej do budynku na potrzeby grzewcze przed wykonaniem termomodernizacji, a ilością energii dostarczanej  po wykonaniu inwestycji. Efekt ekologiczny działania wyznacza się ze wzoru:</w:t>
      </w:r>
    </w:p>
    <w:p w:rsidR="00C5169D" w:rsidRPr="00BE3645" w:rsidRDefault="00C5169D" w:rsidP="00C5169D">
      <w:pPr>
        <w:spacing w:line="240" w:lineRule="auto"/>
        <w:ind w:left="567" w:hanging="567"/>
        <w:jc w:val="both"/>
        <w:rPr>
          <w:rFonts w:eastAsia="Times New Roman"/>
          <w:szCs w:val="20"/>
          <w:lang w:eastAsia="pl-PL"/>
        </w:rPr>
      </w:pPr>
      <w:r w:rsidRPr="00BE3645">
        <w:rPr>
          <w:rFonts w:eastAsia="Times New Roman"/>
          <w:szCs w:val="20"/>
          <w:lang w:eastAsia="pl-PL"/>
        </w:rPr>
        <w:t>Ee = We * Q</w:t>
      </w:r>
    </w:p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>gdzie:</w:t>
      </w:r>
    </w:p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>Ee - efekt ekologiczny redukcji zanieczyszczeń [g/rok]</w:t>
      </w:r>
    </w:p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>We - wskaźnik emisji z tabel 55 lub 56 dla danego rodzaju źródła emisji i rodzaju paliwa [g/GJ]</w:t>
      </w:r>
    </w:p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lastRenderedPageBreak/>
        <w:t>Q - różnica w wielkości zapotrzebowania na ciepło dla obiektu budowlanego przed termomodernizacją i po termomodernizacji [GJ/rok]</w:t>
      </w:r>
    </w:p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>Efekt ekologiczny dla działań w ramach kierunku OP3 obliczany jest indywidulanie przez podmiot realizujący inwestycję, w oparciu o informacje zależne od prowadzonego procesu.</w:t>
      </w:r>
    </w:p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>Efekt ekologiczny czyszczenia dróg zależny jest od rodzaju drogi oraz natężenia ruchu na drodze. W celu wyznaczenia wskaźnika efektu ekologicznego drogi zostały podzielone według rodzajów oraz stopnia obciążenia natężeniem ruchu. W odniesieniu do badań skuteczności redukcji emisji pyłów z procesu czyszczenia dróg przyjęto 15% redukcji emisji pyłów.</w:t>
      </w:r>
    </w:p>
    <w:p w:rsidR="00C5169D" w:rsidRPr="00BE3645" w:rsidRDefault="00C5169D" w:rsidP="00C5169D">
      <w:pPr>
        <w:tabs>
          <w:tab w:val="left" w:pos="567"/>
        </w:tabs>
        <w:spacing w:before="120" w:after="120" w:line="240" w:lineRule="auto"/>
        <w:ind w:firstLine="0"/>
        <w:jc w:val="both"/>
        <w:rPr>
          <w:rFonts w:eastAsia="Times New Roman"/>
          <w:i/>
          <w:sz w:val="22"/>
          <w:lang w:eastAsia="pl-PL"/>
        </w:rPr>
      </w:pPr>
      <w:bookmarkStart w:id="13" w:name="_Toc434450247"/>
      <w:r w:rsidRPr="00BE3645">
        <w:rPr>
          <w:rFonts w:eastAsia="Times New Roman"/>
          <w:i/>
          <w:sz w:val="22"/>
          <w:lang w:eastAsia="pl-PL"/>
        </w:rPr>
        <w:t xml:space="preserve">Tabela </w:t>
      </w:r>
      <w:r w:rsidRPr="00BE3645">
        <w:rPr>
          <w:rFonts w:eastAsia="Times New Roman"/>
          <w:i/>
          <w:sz w:val="22"/>
          <w:lang w:eastAsia="pl-PL"/>
        </w:rPr>
        <w:fldChar w:fldCharType="begin"/>
      </w:r>
      <w:r w:rsidRPr="00BE3645">
        <w:rPr>
          <w:rFonts w:eastAsia="Times New Roman"/>
          <w:i/>
          <w:sz w:val="22"/>
          <w:lang w:eastAsia="pl-PL"/>
        </w:rPr>
        <w:instrText xml:space="preserve"> SEQ Tabela \* ARABIC </w:instrText>
      </w:r>
      <w:r w:rsidRPr="00BE3645">
        <w:rPr>
          <w:rFonts w:eastAsia="Times New Roman"/>
          <w:i/>
          <w:sz w:val="22"/>
          <w:lang w:eastAsia="pl-PL"/>
        </w:rPr>
        <w:fldChar w:fldCharType="separate"/>
      </w:r>
      <w:r w:rsidRPr="00BE3645">
        <w:rPr>
          <w:rFonts w:eastAsia="Times New Roman"/>
          <w:i/>
          <w:noProof/>
          <w:sz w:val="22"/>
          <w:lang w:eastAsia="pl-PL"/>
        </w:rPr>
        <w:t>58</w:t>
      </w:r>
      <w:r w:rsidRPr="00BE3645">
        <w:rPr>
          <w:rFonts w:eastAsia="Times New Roman"/>
          <w:i/>
          <w:sz w:val="22"/>
          <w:lang w:eastAsia="pl-PL"/>
        </w:rPr>
        <w:fldChar w:fldCharType="end"/>
      </w:r>
      <w:r w:rsidRPr="00BE3645">
        <w:rPr>
          <w:rFonts w:eastAsia="Times New Roman"/>
          <w:i/>
          <w:sz w:val="22"/>
          <w:lang w:eastAsia="pl-PL"/>
        </w:rPr>
        <w:t>. Wskaźniki efektu ekologicznego czyszczenia dróg na mokro w podziale na rodzaje drogi</w:t>
      </w:r>
      <w:bookmarkEnd w:id="1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270"/>
        <w:gridCol w:w="3274"/>
      </w:tblGrid>
      <w:tr w:rsidR="00C5169D" w:rsidRPr="00BE3645" w:rsidTr="00934E44">
        <w:trPr>
          <w:trHeight w:val="225"/>
          <w:tblHeader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Rodzaj drogi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Średnie natężenia ruchu [szt./rok]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Wskaźnik redukcji pyłu PM10 [kg/km]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Drogi gminne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-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11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Drogi powiatowe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lang w:eastAsia="pl-PL"/>
              </w:rPr>
            </w:pPr>
            <w:r w:rsidRPr="00BE3645">
              <w:rPr>
                <w:rFonts w:ascii="Arial" w:eastAsia="Times New Roman" w:hAnsi="Arial"/>
                <w:sz w:val="20"/>
                <w:lang w:eastAsia="pl-PL"/>
              </w:rPr>
              <w:t>-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53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Drogi wojewódzkie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200 tys.-500 tys.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10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500 tys.-1 mln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21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 mln-3 mln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54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Drogi krajowe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500 tys.-1mln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22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 mln-3 mln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54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3 mln-5 mln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97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5 mln-7 mln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140</w:t>
            </w:r>
          </w:p>
        </w:tc>
      </w:tr>
      <w:tr w:rsidR="00C5169D" w:rsidRPr="00BE3645" w:rsidTr="00934E44">
        <w:trPr>
          <w:trHeight w:val="225"/>
        </w:trPr>
        <w:tc>
          <w:tcPr>
            <w:tcW w:w="1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7 mln-10 mln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169D" w:rsidRPr="00BE3645" w:rsidRDefault="00C5169D" w:rsidP="00934E44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lang w:eastAsia="pl-PL"/>
              </w:rPr>
            </w:pPr>
            <w:r w:rsidRPr="00BE3645">
              <w:rPr>
                <w:rFonts w:eastAsia="Times New Roman"/>
                <w:sz w:val="20"/>
                <w:lang w:eastAsia="pl-PL"/>
              </w:rPr>
              <w:t>205</w:t>
            </w:r>
          </w:p>
        </w:tc>
      </w:tr>
    </w:tbl>
    <w:p w:rsidR="00C5169D" w:rsidRPr="00BE3645" w:rsidRDefault="00C5169D" w:rsidP="00C5169D">
      <w:pPr>
        <w:tabs>
          <w:tab w:val="left" w:pos="567"/>
        </w:tabs>
        <w:spacing w:before="120" w:line="276" w:lineRule="auto"/>
        <w:ind w:firstLine="0"/>
        <w:jc w:val="both"/>
        <w:rPr>
          <w:rFonts w:eastAsia="Times New Roman"/>
          <w:lang w:eastAsia="pl-PL"/>
        </w:rPr>
      </w:pPr>
      <w:r w:rsidRPr="00BE3645">
        <w:rPr>
          <w:rFonts w:eastAsia="Times New Roman"/>
          <w:lang w:eastAsia="pl-PL"/>
        </w:rPr>
        <w:t>Efekt ekologiczny wymiany taboru komunikacji miejskiej określa się na podstawie ilości przejechanych km przez pojazd spełniający nowe standardy emisyjne, w porównaniu do pojazdu wymienionego.</w:t>
      </w:r>
    </w:p>
    <w:p w:rsidR="00C5169D" w:rsidRPr="00BE3645" w:rsidRDefault="00C5169D" w:rsidP="00C5169D">
      <w:pPr>
        <w:tabs>
          <w:tab w:val="left" w:pos="567"/>
        </w:tabs>
        <w:spacing w:before="120" w:after="120" w:line="240" w:lineRule="auto"/>
        <w:ind w:firstLine="0"/>
        <w:jc w:val="both"/>
        <w:rPr>
          <w:rFonts w:eastAsia="Times New Roman"/>
          <w:i/>
          <w:sz w:val="22"/>
          <w:lang w:eastAsia="pl-PL"/>
        </w:rPr>
      </w:pPr>
      <w:bookmarkStart w:id="14" w:name="_Toc434450248"/>
      <w:r w:rsidRPr="00BE3645">
        <w:rPr>
          <w:rFonts w:eastAsia="Times New Roman"/>
          <w:i/>
          <w:sz w:val="22"/>
          <w:lang w:eastAsia="pl-PL"/>
        </w:rPr>
        <w:t xml:space="preserve">Tabela </w:t>
      </w:r>
      <w:r w:rsidRPr="00BE3645">
        <w:rPr>
          <w:rFonts w:eastAsia="Times New Roman"/>
          <w:i/>
          <w:sz w:val="22"/>
          <w:lang w:eastAsia="pl-PL"/>
        </w:rPr>
        <w:fldChar w:fldCharType="begin"/>
      </w:r>
      <w:r w:rsidRPr="00BE3645">
        <w:rPr>
          <w:rFonts w:eastAsia="Times New Roman"/>
          <w:i/>
          <w:sz w:val="22"/>
          <w:lang w:eastAsia="pl-PL"/>
        </w:rPr>
        <w:instrText xml:space="preserve"> SEQ Tabela \* ARABIC </w:instrText>
      </w:r>
      <w:r w:rsidRPr="00BE3645">
        <w:rPr>
          <w:rFonts w:eastAsia="Times New Roman"/>
          <w:i/>
          <w:sz w:val="22"/>
          <w:lang w:eastAsia="pl-PL"/>
        </w:rPr>
        <w:fldChar w:fldCharType="separate"/>
      </w:r>
      <w:r w:rsidRPr="00BE3645">
        <w:rPr>
          <w:rFonts w:eastAsia="Times New Roman"/>
          <w:i/>
          <w:noProof/>
          <w:sz w:val="22"/>
          <w:lang w:eastAsia="pl-PL"/>
        </w:rPr>
        <w:t>59</w:t>
      </w:r>
      <w:r w:rsidRPr="00BE3645">
        <w:rPr>
          <w:rFonts w:eastAsia="Times New Roman"/>
          <w:i/>
          <w:noProof/>
          <w:sz w:val="22"/>
          <w:lang w:eastAsia="pl-PL"/>
        </w:rPr>
        <w:fldChar w:fldCharType="end"/>
      </w:r>
      <w:r w:rsidRPr="00BE3645">
        <w:rPr>
          <w:rFonts w:eastAsia="Times New Roman"/>
          <w:i/>
          <w:sz w:val="22"/>
          <w:lang w:eastAsia="pl-PL"/>
        </w:rPr>
        <w:t>. Wielkość emisji zanieczyszczeń pyłowych z autobusów spełniających różne normy jakości spalin</w:t>
      </w:r>
      <w:bookmarkEnd w:id="14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C5169D" w:rsidRPr="00BE3645" w:rsidTr="00934E44">
        <w:trPr>
          <w:tblHeader/>
        </w:trPr>
        <w:tc>
          <w:tcPr>
            <w:tcW w:w="4497" w:type="dxa"/>
            <w:shd w:val="clear" w:color="auto" w:fill="D9D9D9" w:themeFill="background1" w:themeFillShade="D9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Rodzaj pojazdu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Emisja PM10 i PM2,5 [g/km]</w:t>
            </w:r>
          </w:p>
        </w:tc>
      </w:tr>
      <w:tr w:rsidR="00C5169D" w:rsidRPr="00BE3645" w:rsidTr="00934E44">
        <w:tc>
          <w:tcPr>
            <w:tcW w:w="4497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</w:pPr>
            <w:r w:rsidRPr="00BE3645">
              <w:t>Diesel EURO1</w:t>
            </w:r>
          </w:p>
        </w:tc>
        <w:tc>
          <w:tcPr>
            <w:tcW w:w="4605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0,436</w:t>
            </w:r>
          </w:p>
        </w:tc>
      </w:tr>
      <w:tr w:rsidR="00C5169D" w:rsidRPr="00BE3645" w:rsidTr="00934E44">
        <w:tc>
          <w:tcPr>
            <w:tcW w:w="4497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</w:pPr>
            <w:r w:rsidRPr="00BE3645">
              <w:t>Diesel EURO2</w:t>
            </w:r>
          </w:p>
        </w:tc>
        <w:tc>
          <w:tcPr>
            <w:tcW w:w="4605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0,202</w:t>
            </w:r>
          </w:p>
        </w:tc>
      </w:tr>
      <w:tr w:rsidR="00C5169D" w:rsidRPr="00BE3645" w:rsidTr="00934E44">
        <w:tc>
          <w:tcPr>
            <w:tcW w:w="4497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</w:pPr>
            <w:r w:rsidRPr="00BE3645">
              <w:t>Diesel EURO3</w:t>
            </w:r>
          </w:p>
        </w:tc>
        <w:tc>
          <w:tcPr>
            <w:tcW w:w="4605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0,195</w:t>
            </w:r>
          </w:p>
        </w:tc>
      </w:tr>
      <w:tr w:rsidR="00C5169D" w:rsidRPr="00BE3645" w:rsidTr="00934E44">
        <w:tc>
          <w:tcPr>
            <w:tcW w:w="4497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</w:pPr>
            <w:r w:rsidRPr="00BE3645">
              <w:t>Diesel EURO4</w:t>
            </w:r>
          </w:p>
        </w:tc>
        <w:tc>
          <w:tcPr>
            <w:tcW w:w="4605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0,112</w:t>
            </w:r>
          </w:p>
        </w:tc>
      </w:tr>
      <w:tr w:rsidR="00C5169D" w:rsidRPr="00BE3645" w:rsidTr="00934E44">
        <w:tc>
          <w:tcPr>
            <w:tcW w:w="4497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</w:pPr>
            <w:r w:rsidRPr="00BE3645">
              <w:t>Diesel EURO5</w:t>
            </w:r>
          </w:p>
        </w:tc>
        <w:tc>
          <w:tcPr>
            <w:tcW w:w="4605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0,087</w:t>
            </w:r>
          </w:p>
        </w:tc>
      </w:tr>
      <w:tr w:rsidR="00C5169D" w:rsidRPr="00BE3645" w:rsidTr="00934E44">
        <w:tc>
          <w:tcPr>
            <w:tcW w:w="4497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</w:pPr>
            <w:r w:rsidRPr="00BE3645">
              <w:t>Diesel EEV</w:t>
            </w:r>
          </w:p>
        </w:tc>
        <w:tc>
          <w:tcPr>
            <w:tcW w:w="4605" w:type="dxa"/>
            <w:vAlign w:val="center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0,062</w:t>
            </w:r>
          </w:p>
        </w:tc>
      </w:tr>
      <w:tr w:rsidR="00C5169D" w:rsidRPr="00BE3645" w:rsidTr="00934E44">
        <w:tc>
          <w:tcPr>
            <w:tcW w:w="4497" w:type="dxa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both"/>
            </w:pPr>
            <w:r w:rsidRPr="00BE3645">
              <w:t>CNG EURO2</w:t>
            </w:r>
          </w:p>
        </w:tc>
        <w:tc>
          <w:tcPr>
            <w:tcW w:w="4605" w:type="dxa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0,009</w:t>
            </w:r>
          </w:p>
        </w:tc>
      </w:tr>
      <w:tr w:rsidR="00C5169D" w:rsidRPr="00BE3645" w:rsidTr="00934E44">
        <w:tc>
          <w:tcPr>
            <w:tcW w:w="4497" w:type="dxa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both"/>
            </w:pPr>
            <w:r w:rsidRPr="00BE3645">
              <w:t>CNG EURO3</w:t>
            </w:r>
          </w:p>
        </w:tc>
        <w:tc>
          <w:tcPr>
            <w:tcW w:w="4605" w:type="dxa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0,011</w:t>
            </w:r>
          </w:p>
        </w:tc>
      </w:tr>
      <w:tr w:rsidR="00C5169D" w:rsidRPr="00BE3645" w:rsidTr="00934E44">
        <w:tc>
          <w:tcPr>
            <w:tcW w:w="4497" w:type="dxa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both"/>
            </w:pPr>
            <w:r w:rsidRPr="00BE3645">
              <w:t>CNG EEV</w:t>
            </w:r>
          </w:p>
        </w:tc>
        <w:tc>
          <w:tcPr>
            <w:tcW w:w="4605" w:type="dxa"/>
          </w:tcPr>
          <w:p w:rsidR="00C5169D" w:rsidRPr="00BE3645" w:rsidRDefault="00C5169D" w:rsidP="00934E44">
            <w:pPr>
              <w:tabs>
                <w:tab w:val="left" w:pos="567"/>
              </w:tabs>
              <w:ind w:firstLine="0"/>
              <w:jc w:val="center"/>
            </w:pPr>
            <w:r w:rsidRPr="00BE3645">
              <w:t>0,007</w:t>
            </w:r>
          </w:p>
        </w:tc>
      </w:tr>
    </w:tbl>
    <w:p w:rsidR="00693EDF" w:rsidRDefault="00DA1938" w:rsidP="00C5169D">
      <w:pPr>
        <w:ind w:firstLine="0"/>
      </w:pPr>
    </w:p>
    <w:sectPr w:rsidR="00693EDF" w:rsidSect="00C5169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38" w:rsidRDefault="00DA1938" w:rsidP="00C5169D">
      <w:pPr>
        <w:spacing w:line="240" w:lineRule="auto"/>
      </w:pPr>
      <w:r>
        <w:separator/>
      </w:r>
    </w:p>
  </w:endnote>
  <w:endnote w:type="continuationSeparator" w:id="0">
    <w:p w:rsidR="00DA1938" w:rsidRDefault="00DA1938" w:rsidP="00C5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38" w:rsidRDefault="00DA1938" w:rsidP="00C5169D">
      <w:pPr>
        <w:spacing w:line="240" w:lineRule="auto"/>
      </w:pPr>
      <w:r>
        <w:separator/>
      </w:r>
    </w:p>
  </w:footnote>
  <w:footnote w:type="continuationSeparator" w:id="0">
    <w:p w:rsidR="00DA1938" w:rsidRDefault="00DA1938" w:rsidP="00C516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9D"/>
    <w:rsid w:val="0025243E"/>
    <w:rsid w:val="004B1D38"/>
    <w:rsid w:val="00970786"/>
    <w:rsid w:val="00A9729F"/>
    <w:rsid w:val="00BE13E7"/>
    <w:rsid w:val="00C5169D"/>
    <w:rsid w:val="00CC5EE2"/>
    <w:rsid w:val="00DA1938"/>
    <w:rsid w:val="00DB6C9F"/>
    <w:rsid w:val="00E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D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Footnote Reference Number,Odwołanie przypisu,EN Footnote Reference,Times 10 Point,Exposant 3 Point,Footnote symbol,Footnote reference number,note TESI,stylish,Footnote number,Ref,de nota al pie,Odwo3anie przypisu,number"/>
    <w:rsid w:val="00C5169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5169D"/>
    <w:pPr>
      <w:spacing w:line="240" w:lineRule="auto"/>
      <w:ind w:left="567" w:hanging="567"/>
    </w:pPr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woania">
    <w:name w:val="Odwołania"/>
    <w:basedOn w:val="Tekstprzypisudolnego"/>
    <w:link w:val="OdwoaniaZnak"/>
    <w:autoRedefine/>
    <w:qFormat/>
    <w:rsid w:val="00C5169D"/>
    <w:pPr>
      <w:ind w:left="170" w:hanging="170"/>
      <w:jc w:val="both"/>
    </w:pPr>
    <w:rPr>
      <w:rFonts w:eastAsia="Times New Roman"/>
      <w:sz w:val="18"/>
      <w:lang w:eastAsia="pl-PL"/>
    </w:rPr>
  </w:style>
  <w:style w:type="character" w:customStyle="1" w:styleId="OdwoaniaZnak">
    <w:name w:val="Odwołania Znak"/>
    <w:basedOn w:val="Domylnaczcionkaakapitu"/>
    <w:link w:val="Odwoania"/>
    <w:rsid w:val="00C5169D"/>
    <w:rPr>
      <w:rFonts w:eastAsia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69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6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D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Footnote Reference Number,Odwołanie przypisu,EN Footnote Reference,Times 10 Point,Exposant 3 Point,Footnote symbol,Footnote reference number,note TESI,stylish,Footnote number,Ref,de nota al pie,Odwo3anie przypisu,number"/>
    <w:rsid w:val="00C5169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5169D"/>
    <w:pPr>
      <w:spacing w:line="240" w:lineRule="auto"/>
      <w:ind w:left="567" w:hanging="567"/>
    </w:pPr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woania">
    <w:name w:val="Odwołania"/>
    <w:basedOn w:val="Tekstprzypisudolnego"/>
    <w:link w:val="OdwoaniaZnak"/>
    <w:autoRedefine/>
    <w:qFormat/>
    <w:rsid w:val="00C5169D"/>
    <w:pPr>
      <w:ind w:left="170" w:hanging="170"/>
      <w:jc w:val="both"/>
    </w:pPr>
    <w:rPr>
      <w:rFonts w:eastAsia="Times New Roman"/>
      <w:sz w:val="18"/>
      <w:lang w:eastAsia="pl-PL"/>
    </w:rPr>
  </w:style>
  <w:style w:type="character" w:customStyle="1" w:styleId="OdwoaniaZnak">
    <w:name w:val="Odwołania Znak"/>
    <w:basedOn w:val="Domylnaczcionkaakapitu"/>
    <w:link w:val="Odwoania"/>
    <w:rsid w:val="00C5169D"/>
    <w:rPr>
      <w:rFonts w:eastAsia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69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6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Hynek, Anna</dc:creator>
  <cp:lastModifiedBy>Hynek, Anna</cp:lastModifiedBy>
  <cp:revision>2</cp:revision>
  <dcterms:created xsi:type="dcterms:W3CDTF">2018-01-17T12:12:00Z</dcterms:created>
  <dcterms:modified xsi:type="dcterms:W3CDTF">2018-01-17T12:12:00Z</dcterms:modified>
</cp:coreProperties>
</file>