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8E6D" w14:textId="77777777" w:rsidR="004F391D" w:rsidRPr="009D6395" w:rsidRDefault="004F391D" w:rsidP="009D639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AD401D7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7ABA7006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6FA2A2D7" w14:textId="5257508F" w:rsidR="002B1918" w:rsidRPr="000250FD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>Regulamin udzielania grantów</w:t>
      </w:r>
    </w:p>
    <w:p w14:paraId="3DE99F98" w14:textId="5D689841" w:rsidR="009D6395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 xml:space="preserve"> </w:t>
      </w:r>
      <w:r w:rsidR="004F391D" w:rsidRPr="000250FD">
        <w:rPr>
          <w:rFonts w:ascii="Arial" w:hAnsi="Arial" w:cs="Arial"/>
          <w:sz w:val="56"/>
          <w:szCs w:val="56"/>
        </w:rPr>
        <w:t>w ramach projektu</w:t>
      </w:r>
      <w:r w:rsidR="003A447D" w:rsidRPr="000250FD">
        <w:rPr>
          <w:rFonts w:ascii="Arial" w:hAnsi="Arial" w:cs="Arial"/>
          <w:sz w:val="56"/>
          <w:szCs w:val="56"/>
        </w:rPr>
        <w:t xml:space="preserve"> pn.</w:t>
      </w:r>
    </w:p>
    <w:p w14:paraId="10A5DC0B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15520BD5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E6DF91" w14:textId="45F75116" w:rsidR="009D6395" w:rsidRDefault="004F391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0250FD">
        <w:rPr>
          <w:rFonts w:ascii="Arial" w:hAnsi="Arial" w:cs="Arial"/>
          <w:b/>
          <w:bCs/>
          <w:sz w:val="72"/>
          <w:szCs w:val="72"/>
        </w:rPr>
        <w:t>„Bezpieczna Przyszłość”</w:t>
      </w:r>
    </w:p>
    <w:p w14:paraId="3BEE9095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ED55016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5037AE64" w14:textId="22EDEF17" w:rsidR="000250FD" w:rsidRDefault="004F391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współfinansowanego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>przez Unię Europejską w ramach Europejskiego Funduszu Społecznego,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</w:p>
    <w:p w14:paraId="1CFA0605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0174A487" w14:textId="3EC5BE4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Działanie 2.8 Rozwój Usług Społecznych świadczonych</w:t>
      </w:r>
      <w:r w:rsidR="002B1918" w:rsidRPr="000250FD">
        <w:rPr>
          <w:rFonts w:ascii="Arial" w:eastAsia="Times New Roman" w:hAnsi="Arial" w:cs="Arial"/>
          <w:sz w:val="36"/>
          <w:szCs w:val="36"/>
          <w:lang w:eastAsia="pl-PL"/>
        </w:rPr>
        <w:br/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w środowisku lokalnym, </w:t>
      </w:r>
    </w:p>
    <w:p w14:paraId="4321F9DE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5A70168" w14:textId="4F959AE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Programu Operacyjnego</w:t>
      </w:r>
    </w:p>
    <w:p w14:paraId="05BFB14F" w14:textId="0F426C0E" w:rsidR="004F391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Wiedza Edukacja Rozwój na lata 2014-2020.</w:t>
      </w:r>
    </w:p>
    <w:p w14:paraId="023809FD" w14:textId="77777777" w:rsidR="00BE27AD" w:rsidRDefault="00BE27A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30524364" w14:textId="1AA84EEF" w:rsidR="004F391D" w:rsidRPr="00BE27AD" w:rsidRDefault="00BE27AD" w:rsidP="00BE27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E27AD">
        <w:rPr>
          <w:rFonts w:ascii="Arial" w:eastAsia="Times New Roman" w:hAnsi="Arial" w:cs="Arial"/>
          <w:sz w:val="32"/>
          <w:szCs w:val="32"/>
          <w:lang w:eastAsia="pl-PL"/>
        </w:rPr>
        <w:t xml:space="preserve">(zaktualizowany </w:t>
      </w:r>
      <w:r w:rsidR="00571885">
        <w:rPr>
          <w:rFonts w:ascii="Arial" w:eastAsia="Times New Roman" w:hAnsi="Arial" w:cs="Arial"/>
          <w:sz w:val="32"/>
          <w:szCs w:val="32"/>
          <w:lang w:eastAsia="pl-PL"/>
        </w:rPr>
        <w:t>19 sierpnia</w:t>
      </w:r>
      <w:r w:rsidRPr="00BE27AD">
        <w:rPr>
          <w:rFonts w:ascii="Arial" w:eastAsia="Times New Roman" w:hAnsi="Arial" w:cs="Arial"/>
          <w:sz w:val="32"/>
          <w:szCs w:val="32"/>
          <w:lang w:eastAsia="pl-PL"/>
        </w:rPr>
        <w:t xml:space="preserve"> 2020 roku)</w:t>
      </w:r>
    </w:p>
    <w:p w14:paraId="1E4E8EEC" w14:textId="46CDBBE4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ADF098" w14:textId="74F3DE18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9C279E" w14:textId="63A8BDA0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7F8C2C" w14:textId="47316726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4EFD9D" w14:textId="6A643D9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9B7D42" w14:textId="422117AE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964BBA" w14:textId="42E3C60F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31FCB9" w14:textId="13B925CB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0EB9564" w14:textId="28CF037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8C46916" w14:textId="120032B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A608B2" w14:textId="78A85E5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A3D6EB" w14:textId="56E7B091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E8FF3B" w14:textId="77777777" w:rsidR="009D6395" w:rsidRDefault="009D6395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D7AC3A" w14:textId="2B94734B" w:rsidR="00C4608C" w:rsidRDefault="009D639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Niniejszy Regulamin określa warunki naboru oraz uczestnictwa w projekcie grantowym „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” oraz wzory dokumentów niezbędne do ubiegania się o przyznanie, jak i rozliczanie Grantu</w:t>
      </w:r>
      <w:r w:rsid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7FC5DE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A7D2E3" w14:textId="51E7432A" w:rsidR="002B1918" w:rsidRPr="00B673EA" w:rsidRDefault="00DD1553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2B1918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6951E52" w14:textId="2A06D1B5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SŁOWNICZEK</w:t>
      </w:r>
    </w:p>
    <w:p w14:paraId="2577F32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A913C2" w14:textId="1D11FBC4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–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Województwo 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, beneficjent projektu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”, współfinansowanego przez Unię Europejską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ramach Europejskiego Funduszu Społecznego,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Działanie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2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.8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Priorytet Inwestycyjny PI 9iv: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 i usług socjalnych świadczonych w interesie ogólnym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Wiedza Edukacja Rozwój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na lata 2014-2020. </w:t>
      </w:r>
    </w:p>
    <w:p w14:paraId="5092E290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26FA0B" w14:textId="0AE2CA47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Realizator Projektu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Regionalny Ośrodek Polityki Społecznej Urzędu Marszałkowskiego Województwa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 (ROPS UM WŚ w Kielcach)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1BF01A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C6A6A0" w14:textId="43377221" w:rsidR="003A447D" w:rsidRPr="003A447D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środki finansowe przyznane i przekazane </w:t>
      </w:r>
      <w:proofErr w:type="spellStart"/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za pośrednictwem Wnioskodawcy na </w:t>
      </w:r>
      <w:bookmarkStart w:id="0" w:name="_Hlk40784028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wsparcie </w:t>
      </w:r>
      <w:proofErr w:type="spellStart"/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</w:t>
      </w:r>
      <w:proofErr w:type="spellStart"/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bookmarkEnd w:id="0"/>
      <w:proofErr w:type="spellEnd"/>
      <w:r w:rsidR="003A447D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9C8BEBB" w14:textId="77777777" w:rsidR="005E66AC" w:rsidRDefault="005E66A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C9A9B1A" w14:textId="33639819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dom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zlokalizowane na terenie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 xml:space="preserve">województwa świętokrzyskiego 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prowadzone przez </w:t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podmioty wskazane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w Rozdziale III</w:t>
      </w:r>
    </w:p>
    <w:p w14:paraId="6AFC6C6E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A59175" w14:textId="5CBEE7E0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Wnioskodawca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podmiot uprawniony do złożenia wniosku o udzielenie Grantu, </w:t>
      </w:r>
      <w:bookmarkStart w:id="1" w:name="_Hlk41467807"/>
      <w:r w:rsidRPr="009D6395">
        <w:rPr>
          <w:rFonts w:ascii="Arial" w:eastAsia="Times New Roman" w:hAnsi="Arial" w:cs="Arial"/>
          <w:sz w:val="25"/>
          <w:szCs w:val="25"/>
          <w:lang w:eastAsia="pl-PL"/>
        </w:rPr>
        <w:t>wskazany w Rozdziale III</w:t>
      </w:r>
      <w:bookmarkEnd w:id="1"/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359C0193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D4F40B" w14:textId="5CD25A0D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D8EA6D5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9D9755" w14:textId="3964DC40" w:rsidR="00B673EA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–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p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”. Projekt współfinansowany</w:t>
      </w:r>
      <w:r w:rsidR="003A447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przez Unię Europejską w ramach Europejskiego Funduszu Społecznego,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Działanie 2.8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, Priorytet Inwestycyjny PI 9iv: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</w:t>
      </w:r>
      <w:r w:rsidR="009D6395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br/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i usług socjalnych świadczonych w interesie ogólnym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Wiedza Edukacja Rozwój na lata 2014-2020.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Realizacja projektu wynika z zapisów 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ustawy 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z dnia 2 marca 2020 r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o szczególnych rozwiązaniach związanych z zapobieganiem, przeciwdziałaniem i zwalczaniem COVID-19, innych chorób zakaźnych oraz wywołanych nimi sytuacji kryzysowych (Dz.U.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z 2020 r.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poz. 374 z </w:t>
      </w:r>
      <w:proofErr w:type="spellStart"/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późn</w:t>
      </w:r>
      <w:proofErr w:type="spellEnd"/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. zm.).  </w:t>
      </w:r>
    </w:p>
    <w:p w14:paraId="267A13B3" w14:textId="77777777" w:rsidR="00B673EA" w:rsidRPr="00B673EA" w:rsidRDefault="00B673E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F3A8C0" w14:textId="0F66A6A1" w:rsidR="00B673EA" w:rsidRPr="009D6395" w:rsidRDefault="00B673EA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Regulamin -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oznacza </w:t>
      </w:r>
      <w:r>
        <w:rPr>
          <w:rFonts w:ascii="Arial" w:eastAsia="Times New Roman" w:hAnsi="Arial" w:cs="Arial"/>
          <w:sz w:val="25"/>
          <w:szCs w:val="25"/>
          <w:lang w:eastAsia="pl-PL"/>
        </w:rPr>
        <w:t>Regulamin Udzielania Grantów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w ramach projektu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pn. </w:t>
      </w:r>
      <w:r>
        <w:rPr>
          <w:rFonts w:ascii="Arial" w:eastAsia="Times New Roman" w:hAnsi="Arial" w:cs="Arial"/>
          <w:sz w:val="25"/>
          <w:szCs w:val="25"/>
          <w:lang w:eastAsia="pl-PL"/>
        </w:rPr>
        <w:t>„Bezpieczna Przyszłość”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, współfinansowanego przez Unię Europejską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w ramach Europejskiego Funduszu Społecznego, Działania 2.8 Rozwój usług społecznych świadczonych w środowisku lokalnym Programu Operacyjnego Wiedza Edukacja Rozwój 2014-2020, określający procedury grantowe obejmujące zasady i założenia związane z naborem, oceną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i rozliczeniem grantów.</w:t>
      </w:r>
    </w:p>
    <w:p w14:paraId="41238DBF" w14:textId="77777777" w:rsidR="004F391D" w:rsidRDefault="004F391D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68D396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81BC81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</w:t>
      </w:r>
    </w:p>
    <w:p w14:paraId="62933F0B" w14:textId="1FFAFE82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 UDZIELANIA GRANTÓW</w:t>
      </w:r>
      <w:r w:rsidR="0006304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 ZAKRES ZADAŃ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MOŻLIWYCH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</w:t>
      </w:r>
      <w:r w:rsidR="00DD1553"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REALIZACJI</w:t>
      </w:r>
    </w:p>
    <w:p w14:paraId="371367B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11B5FF" w14:textId="22A49016" w:rsidR="00C4608C" w:rsidRPr="00063043" w:rsidRDefault="00C4608C" w:rsidP="00FF71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Celem udzielania Grantów jest wsparcie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>domów pomocy społecznej,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domów pomocy społecznej województwa świętokrzyskiego, prowadzonych przez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>podmioty wskazane w Rozdziale III.</w:t>
      </w:r>
    </w:p>
    <w:p w14:paraId="104D03C7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5EB0205" w14:textId="6FF02E4E" w:rsidR="00C4608C" w:rsidRPr="009D6E93" w:rsidRDefault="00C4608C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celu udzielenia Grantów organizowany jest nabór Wniosków na działania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związane ze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wsp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arciem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="004F77A2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poprzez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zakup niezbędnego sprzętu, wyposażenia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środków ochrony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oraz usług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dla mieszkańców i pracowników domów pomocy społecznej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 mającego na celu ograniczenie negatywnych skutków wystąpienia COVID 19.</w:t>
      </w:r>
    </w:p>
    <w:p w14:paraId="20E0FAA1" w14:textId="77777777" w:rsidR="009D6E93" w:rsidRPr="00476C0E" w:rsidRDefault="009D6E93" w:rsidP="009D6E9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2D4C9C" w14:textId="0D41FC24" w:rsidR="009D6E93" w:rsidRPr="004826D4" w:rsidRDefault="009D6E93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D6E93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9D6E93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zmiany przeznaczenia Grantu.</w:t>
      </w:r>
    </w:p>
    <w:p w14:paraId="36181B5B" w14:textId="77777777" w:rsidR="004826D4" w:rsidRPr="004826D4" w:rsidRDefault="004826D4" w:rsidP="004826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0283" w14:textId="77777777" w:rsidR="004826D4" w:rsidRPr="00476C0E" w:rsidRDefault="004826D4" w:rsidP="004826D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04ACE5" w14:textId="77777777" w:rsidR="00DD1553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III</w:t>
      </w:r>
    </w:p>
    <w:p w14:paraId="6FE228F5" w14:textId="57698443" w:rsidR="00C4608C" w:rsidRPr="00B673EA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PODMIOTY UPRAWNIONE</w:t>
      </w:r>
    </w:p>
    <w:p w14:paraId="003DFB2C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DEF278" w14:textId="3EAD0558" w:rsidR="006369D4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Podmiotami uprawnionymi do złożenia Wniosku są</w:t>
      </w:r>
      <w:r w:rsidR="006369D4"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14:paraId="157D63CF" w14:textId="0E4743F1" w:rsidR="006369D4" w:rsidRDefault="004F77A2" w:rsidP="00525C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jednostki samorządu terytorialnego prowadzące </w:t>
      </w:r>
      <w:bookmarkStart w:id="2" w:name="_Hlk40784975"/>
      <w:r w:rsidRPr="006369D4">
        <w:rPr>
          <w:rFonts w:ascii="Arial" w:eastAsia="Times New Roman" w:hAnsi="Arial" w:cs="Arial"/>
          <w:sz w:val="25"/>
          <w:szCs w:val="25"/>
          <w:lang w:eastAsia="pl-PL"/>
        </w:rPr>
        <w:t>na terenie województwa świętokrzyskiego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domy pomocy społecznej</w:t>
      </w:r>
      <w:bookmarkEnd w:id="2"/>
      <w:r w:rsidR="006369D4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4629A8" w14:textId="64C6C06C" w:rsidR="006369D4" w:rsidRPr="006369D4" w:rsidRDefault="00476AEE" w:rsidP="00525C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organizacje pozarządowe, kościelne osoby prawne, inne osoby prawne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369D4"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34F4B33" w14:textId="37D0E579" w:rsidR="004F77A2" w:rsidRPr="006369D4" w:rsidRDefault="004F77A2" w:rsidP="00525C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przedsiębiorcy (osoby prawne, osoby fizyczne, jednostki organizacyjne bez osobowości prawnej, posiadające zdolność prawną)</w:t>
      </w:r>
      <w:r w:rsidR="00476AEE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476AEE"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 w:rsidR="00476AE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4000F1A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FBBDD3" w14:textId="77777777" w:rsidR="00476AE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IV</w:t>
      </w:r>
    </w:p>
    <w:p w14:paraId="4A61491B" w14:textId="76ADF521" w:rsidR="00C4608C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KRYTERIA OCENY WNIOSKÓW</w:t>
      </w:r>
    </w:p>
    <w:p w14:paraId="2434C0F8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0303EE" w14:textId="7E73EF4F" w:rsidR="00C4608C" w:rsidRPr="00EB32F3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B32F3">
        <w:rPr>
          <w:rFonts w:ascii="Arial" w:eastAsia="Times New Roman" w:hAnsi="Arial" w:cs="Arial"/>
          <w:sz w:val="25"/>
          <w:szCs w:val="25"/>
          <w:lang w:eastAsia="pl-PL"/>
        </w:rPr>
        <w:t>Ocena dokonywana będzie w oparciu o następujące kryteria:</w:t>
      </w:r>
    </w:p>
    <w:p w14:paraId="421F4782" w14:textId="3CF30092" w:rsidR="00EB32F3" w:rsidRPr="00830366" w:rsidRDefault="00EB32F3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zy Wniosek został złożony w terminie do Realizatora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>rojektu?</w:t>
      </w:r>
    </w:p>
    <w:p w14:paraId="0D3661C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został złożony na właściwym formularzu?</w:t>
      </w:r>
    </w:p>
    <w:p w14:paraId="5D17B1A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kompletny?</w:t>
      </w:r>
    </w:p>
    <w:p w14:paraId="64B62209" w14:textId="6A078BF1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złożony przez podmiot uprawniony do udziału w naborze Wniosków</w:t>
      </w:r>
      <w:r w:rsidR="00FC4B97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o przyznanie Grantów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2FAD8D73" w14:textId="4F9FA828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</w:t>
      </w:r>
      <w:r w:rsidR="004D501D" w:rsidRPr="00830366">
        <w:rPr>
          <w:rFonts w:ascii="Arial" w:eastAsia="Times New Roman" w:hAnsi="Arial" w:cs="Arial"/>
          <w:sz w:val="25"/>
          <w:szCs w:val="25"/>
          <w:lang w:eastAsia="pl-PL"/>
        </w:rPr>
        <w:t>projekt będzie realizowany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terenie województwa </w:t>
      </w:r>
      <w:r w:rsidR="00EB32F3" w:rsidRPr="00830366">
        <w:rPr>
          <w:rFonts w:ascii="Arial" w:eastAsia="Times New Roman" w:hAnsi="Arial" w:cs="Arial"/>
          <w:sz w:val="25"/>
          <w:szCs w:val="25"/>
          <w:lang w:eastAsia="pl-PL"/>
        </w:rPr>
        <w:t>świętokrzyskiego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311B325" w14:textId="0F295D4D" w:rsidR="00EB32F3" w:rsidRPr="00830366" w:rsidRDefault="00C4602F" w:rsidP="00525C9A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Czy okres realizacji Wniosku </w:t>
      </w:r>
      <w:r w:rsidR="00E01F1A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nie przekracza maksymalnego czasu określonego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Regulaminie? </w:t>
      </w:r>
    </w:p>
    <w:p w14:paraId="75F1022F" w14:textId="201CE310" w:rsidR="00C4608C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wydatki zaplanowane we Wniosku spełniają warunki określone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regulaminie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tj. czy mają na celu podjęcie działań wspierających w walce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  <w:t>z epidemią COVID-19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F3FADF7" w14:textId="77777777" w:rsidR="00EB2E11" w:rsidRPr="00EB2E11" w:rsidRDefault="00EB2E11" w:rsidP="00EB2E11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FA23E8A" w14:textId="4190B468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Wszystkie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nioski będą oceniane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terminie do 14 dni od dnia złożenia Wniosku do Realizatora Projektu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przez Komisję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ceny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niosków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, powołaną przez Dyrektora Regionalnego Ośrodka Polityki Społecznej w Kielcach.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Każdy z Wniosków będzie oceniany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w systemie punktacji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0-1.</w:t>
      </w:r>
    </w:p>
    <w:p w14:paraId="0088A588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808D23" w14:textId="6A6545A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Aby uzyskać pozytywną ocenę i kwalifikować się do dofinansowania, Wniosek musi uzyskać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łącznie </w:t>
      </w:r>
      <w:r w:rsidR="00EB2E11"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punktów.</w:t>
      </w:r>
    </w:p>
    <w:p w14:paraId="44D5BCD7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642920" w14:textId="775B8AFA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Ocena dokonywana jest</w:t>
      </w:r>
      <w:r w:rsidR="00B41641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 zastosowaniem karty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oceny, która stanowi</w:t>
      </w:r>
      <w:r w:rsidR="00650816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załącznik nr 2 do niniejszego 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egulaminu.</w:t>
      </w:r>
    </w:p>
    <w:p w14:paraId="0573A5CE" w14:textId="77777777" w:rsidR="00E5394D" w:rsidRPr="00830366" w:rsidRDefault="00E5394D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EDF442" w14:textId="1FE9D19A" w:rsidR="00C4608C" w:rsidRPr="00D74FE7" w:rsidRDefault="00650816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Komisja Oceny Wniosków, o której mowa w Rozdzia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>le IV, punkt 2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może dokonać poprawy oczywistych omyłek pisarskich, zawartych we Wniosku, po uzgodnieniu mailowym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z Wnioskodawcą, poświadczając naniesione zmiany podpisem przewodniczącego Komisji. Poprawa </w:t>
      </w:r>
      <w:r w:rsidR="007824A3" w:rsidRPr="00D74FE7">
        <w:rPr>
          <w:rFonts w:ascii="Arial" w:eastAsia="Times New Roman" w:hAnsi="Arial" w:cs="Arial"/>
          <w:sz w:val="25"/>
          <w:szCs w:val="25"/>
          <w:lang w:eastAsia="pl-PL"/>
        </w:rPr>
        <w:t>lub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uzupełnienie informacji we Wniosku przez Komisję Oceny Wniosku nie może prowadzić do istotnej modyfikacji treści merytorycznej i finansowej Wniosku. </w:t>
      </w:r>
    </w:p>
    <w:p w14:paraId="4BF9B850" w14:textId="77777777" w:rsidR="00E5394D" w:rsidRPr="00830366" w:rsidRDefault="00E5394D" w:rsidP="00FF71EA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498D42C" w14:textId="71A77B49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rojektu może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ezwać Wnioskodawcę do poprawienia oczywistych omyłek,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wyjaśnienia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bądź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uzupełnienia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w wyznaczonym przez siebie terminie.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Brak odpowiedzi na wezwanie skutkuje pozostawieniem Wniosku bez rozpatrzenia.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pozostawieniu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niosku bez rozpatrzenia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rojektu informuje Wnioskodawcę drogą elektroniczną na adres e-mail wskazany we Wniosku.</w:t>
      </w:r>
    </w:p>
    <w:p w14:paraId="5369212B" w14:textId="77777777" w:rsidR="000942DA" w:rsidRPr="00830366" w:rsidRDefault="000942DA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1F5EB2" w14:textId="779BB431" w:rsidR="000942DA" w:rsidRPr="00830366" w:rsidRDefault="000942DA" w:rsidP="00525C9A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Realizator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zastrzega sobie prawo do zwrotu Wniosku o udzielenie gra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ntu </w:t>
      </w:r>
      <w:r w:rsidR="003428A2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celu poprawy,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sytuacji gdy uzna, że Wniosek o udzielenie grantu w części obejmującej plan finansowy </w:t>
      </w:r>
      <w:proofErr w:type="spellStart"/>
      <w:r w:rsidRPr="00830366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nie spełnia warunków kwalifikowalności wydatków opisanych w 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Regulaminu lub ze względu na ograniczoną ilość dostępnych środków finansowych na udzielenie grantu.</w:t>
      </w:r>
    </w:p>
    <w:p w14:paraId="4CB47972" w14:textId="77777777" w:rsidR="00C4608C" w:rsidRPr="00830366" w:rsidRDefault="00C4608C" w:rsidP="00FF71EA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2F3AD7" w14:textId="076369FC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Wyniki oceny złożonych Wniosków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>zostaną umieszczone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stronie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internetowej </w:t>
      </w:r>
      <w:hyperlink r:id="rId8" w:history="1">
        <w:r w:rsidR="007824A3" w:rsidRPr="00830366">
          <w:rPr>
            <w:rStyle w:val="Hipercze"/>
            <w:rFonts w:ascii="Arial" w:eastAsia="Times New Roman" w:hAnsi="Arial" w:cs="Arial"/>
            <w:color w:val="auto"/>
            <w:sz w:val="25"/>
            <w:szCs w:val="25"/>
            <w:u w:val="none"/>
            <w:lang w:eastAsia="pl-PL"/>
          </w:rPr>
          <w:t>www.swietokrzyskie.pro</w:t>
        </w:r>
      </w:hyperlink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6808B5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Dodatkowo każdy Wnioskodawca otrzyma indywidualne potwierdzenie wyniku oceny na adres poczty elektronicznej wskazany we Wniosku, wraz z informacją o udzieleniu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bądź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nieudzieleniu Grantu.</w:t>
      </w:r>
    </w:p>
    <w:p w14:paraId="63006C34" w14:textId="77777777" w:rsidR="00E55079" w:rsidRPr="00830366" w:rsidRDefault="00E5507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5F6708" w14:textId="6C13D172" w:rsidR="00E55079" w:rsidRPr="00830366" w:rsidRDefault="00E55079" w:rsidP="00525C9A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Wynik oceny ostatecznie zatwierdzany jest przez Zarząd Województwa </w:t>
      </w:r>
      <w:r w:rsidR="000250FD" w:rsidRPr="00830366">
        <w:rPr>
          <w:rFonts w:ascii="Arial" w:eastAsia="Times New Roman" w:hAnsi="Arial" w:cs="Arial"/>
          <w:sz w:val="25"/>
          <w:szCs w:val="25"/>
          <w:lang w:eastAsia="pl-PL"/>
        </w:rPr>
        <w:t>Świętokrzy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skiego.</w:t>
      </w:r>
    </w:p>
    <w:p w14:paraId="66525ABD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62CBD8" w14:textId="4D9579A2" w:rsidR="00C4608C" w:rsidRDefault="00462E85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462E85">
        <w:rPr>
          <w:rFonts w:ascii="Arial" w:eastAsia="Times New Roman" w:hAnsi="Arial" w:cs="Arial"/>
          <w:sz w:val="25"/>
          <w:szCs w:val="25"/>
          <w:lang w:eastAsia="pl-PL"/>
        </w:rPr>
        <w:t>Możliwe jest złożenie skargi od negatywnego wyniku oceny. Zasady składania skarg zostały określone zapisami Rozdziału V Regulaminu.</w:t>
      </w:r>
    </w:p>
    <w:p w14:paraId="412B0851" w14:textId="77777777" w:rsidR="00462E85" w:rsidRPr="00462E85" w:rsidRDefault="00462E85" w:rsidP="00462E85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499A42" w14:textId="3099ED70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Wnioskodawca może zrezygnować z udziału w Projekcie zarówno przed, jak</w:t>
      </w:r>
      <w:r w:rsidR="00FF71EA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i po zakończeniu oceny Wniosku.</w:t>
      </w:r>
    </w:p>
    <w:p w14:paraId="436F839F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CFF1E5B" w14:textId="57E7C07F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przypadku rezygnacji Wnioskodawcy przed 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dniem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zawarci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umowy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udzielenie Grantu, Wniosek zostaje pozostawiony bez rozpatrzenia. </w:t>
      </w:r>
    </w:p>
    <w:p w14:paraId="32C77693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6465CF" w14:textId="20F1CC2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przypadku rezygnacji Wnioskodawcy po zawarciu Umowy o powierzenie Grantu, Umowa o powierzenie Grantu ulega rozwiązaniu na zasadach w niej określonych. </w:t>
      </w:r>
    </w:p>
    <w:p w14:paraId="3C6B31B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5BED2D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769AA4A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BD64AA9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E6D476B" w14:textId="6BB6B8A4" w:rsidR="00462E85" w:rsidRPr="000250FD" w:rsidRDefault="00462E85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</w:t>
      </w:r>
    </w:p>
    <w:p w14:paraId="47ED5D2F" w14:textId="77777777" w:rsidR="00AC5E18" w:rsidRDefault="00AC5E18" w:rsidP="00AC5E1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PROCEDURA ROZPATRYWANIA SKARG</w:t>
      </w:r>
    </w:p>
    <w:p w14:paraId="5C3984F3" w14:textId="77777777" w:rsidR="00A022E6" w:rsidRDefault="00A022E6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CA9E219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>Wnioskodawca ma prawo złożenia skargi od oceny negatywnej w przypadku błędu w ocenie Wniosku.</w:t>
      </w:r>
    </w:p>
    <w:p w14:paraId="7C53BFCE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Skarga musi być złożona w terminie do 3 dni roboczych od dnia otrzymania informacji o wynikach oceny. Przygotowaną skargę należy wydrukować, opieczętować i podpisać przez osobę upoważnioną do podejmowania decyzji w imieniu Wnioskodawcy. Tak przygotowaną skargę należy złożyć zeskanowaną, za pośrednictwem poczty e-mail na adres: </w:t>
      </w:r>
      <w:hyperlink r:id="rId9" w:history="1">
        <w:r w:rsidRPr="00CF4F40">
          <w:rPr>
            <w:rStyle w:val="Hipercze"/>
            <w:rFonts w:ascii="Arial" w:hAnsi="Arial" w:cs="Arial"/>
            <w:sz w:val="25"/>
            <w:szCs w:val="25"/>
            <w:lang w:eastAsia="pl-PL"/>
          </w:rPr>
          <w:t>rops@sejmik.kielce.pl</w:t>
        </w:r>
      </w:hyperlink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 lub w przypadku braku takiej możliwości, w formie papierowej na adres:</w:t>
      </w:r>
    </w:p>
    <w:p w14:paraId="33F2432A" w14:textId="77777777" w:rsidR="00AC5E18" w:rsidRPr="00654E01" w:rsidRDefault="00AC5E18" w:rsidP="00AC5E18">
      <w:pPr>
        <w:pStyle w:val="NormalnyWeb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Urząd Marszałkowski Województwa </w:t>
      </w:r>
      <w:r>
        <w:rPr>
          <w:rStyle w:val="Pogrubienie"/>
          <w:rFonts w:asciiTheme="minorHAnsi" w:hAnsiTheme="minorHAnsi" w:cstheme="minorHAnsi"/>
          <w:sz w:val="22"/>
          <w:szCs w:val="22"/>
        </w:rPr>
        <w:t>Świętokrzyskiego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Regionalny Ośrodek Polityki Społecznej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al. IX Wieków Kielc 3, 25-516 Kielce 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z adnotacją: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>
        <w:rPr>
          <w:rStyle w:val="Pogrubienie"/>
          <w:rFonts w:asciiTheme="minorHAnsi" w:hAnsiTheme="minorHAnsi" w:cstheme="minorHAnsi"/>
          <w:sz w:val="22"/>
          <w:szCs w:val="22"/>
        </w:rPr>
        <w:t>Bezpieczna Przyszłość”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– SKARGA</w:t>
      </w:r>
    </w:p>
    <w:p w14:paraId="70076983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Termin przesłania pocztą tradycyjną uważa się za zachowany, jeżeli przed jego upływem pismo zostało nadane w polskiej placówce pocztowej operatora wyznaczonego w rozumieniu ustawy z dnia 23 listopada 2012 r. - Prawo pocztowe (Dz.U. 2018 poz. 2188). </w:t>
      </w:r>
    </w:p>
    <w:p w14:paraId="6767BCD3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1C3DCC5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Realizator </w:t>
      </w:r>
      <w:r>
        <w:rPr>
          <w:rFonts w:ascii="Arial" w:eastAsia="Times New Roman" w:hAnsi="Arial" w:cs="Arial"/>
          <w:color w:val="auto"/>
          <w:sz w:val="25"/>
          <w:szCs w:val="25"/>
        </w:rPr>
        <w:t>P</w:t>
      </w:r>
      <w:r w:rsidRPr="00462E85">
        <w:rPr>
          <w:rFonts w:ascii="Arial" w:eastAsia="Times New Roman" w:hAnsi="Arial" w:cs="Arial"/>
          <w:color w:val="auto"/>
          <w:sz w:val="25"/>
          <w:szCs w:val="25"/>
        </w:rPr>
        <w:t>rojektu ustosunkuje się do skargi w terminie do 10 dni roboczych od dnia jej wniesienia.</w:t>
      </w:r>
    </w:p>
    <w:p w14:paraId="21F93D8C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1BADE60" w14:textId="77777777" w:rsidR="00AC5E18" w:rsidRPr="00462E85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Skarga zostanie pozostawiona bez rozpatrzenia:</w:t>
      </w:r>
    </w:p>
    <w:p w14:paraId="28F203C2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gdy złożona zostanie po terminie wskazanym w ust. 2;</w:t>
      </w:r>
    </w:p>
    <w:p w14:paraId="6786FF1E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wniesiona zostanie przez inny podmiot niż Wnioskodawca;</w:t>
      </w:r>
    </w:p>
    <w:p w14:paraId="40F61357" w14:textId="5FD1DBCE" w:rsidR="00AC5E18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nie została podpisana przez Wnioskodawcę lub została podpisana przez osobę nie mającą umocowania.</w:t>
      </w:r>
    </w:p>
    <w:p w14:paraId="10EA4462" w14:textId="064E0F37" w:rsidR="00AC5E18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BAA5983" w14:textId="5139010E" w:rsidR="00AC5E18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2EA69B4" w14:textId="77777777" w:rsidR="00AC5E18" w:rsidRPr="00462E85" w:rsidRDefault="00AC5E18" w:rsidP="00AC5E18">
      <w:pPr>
        <w:pStyle w:val="Normalny1"/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00E37114" w14:textId="77777777" w:rsidR="00462E85" w:rsidRDefault="00462E85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3C20672" w14:textId="798DC402" w:rsidR="007824A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570A52DB" w14:textId="557E1DC7" w:rsidR="00BD7475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WYSOKOŚĆ WNIOSKOWANEGO WSPARCIA</w:t>
      </w:r>
    </w:p>
    <w:p w14:paraId="159F81C9" w14:textId="77777777" w:rsidR="00BD7475" w:rsidRDefault="00BD747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9D4C7A1" w14:textId="653DCFC2" w:rsidR="00C4602F" w:rsidRPr="00BD7475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wota Grantu uzależniona jest</w:t>
      </w:r>
      <w:r w:rsidR="00270D13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C4602F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: </w:t>
      </w:r>
    </w:p>
    <w:p w14:paraId="453344D9" w14:textId="4A43D8CF" w:rsidR="00C4602F" w:rsidRDefault="00C4602F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określonej na dzień 31.12.2019 roku.</w:t>
      </w:r>
    </w:p>
    <w:p w14:paraId="28FF1002" w14:textId="20E37324" w:rsidR="00C4602F" w:rsidRDefault="00C4602F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zatrudnionych 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>określonej na dzień 31.12.2019 roku (z wyłączeniem pracowników nieetatowych oraz kadry medycznej).</w:t>
      </w:r>
    </w:p>
    <w:p w14:paraId="132FA5B1" w14:textId="0BEB8139" w:rsidR="00270D13" w:rsidRDefault="00F613C2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Liczby etatów zatrudnionych 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>
        <w:rPr>
          <w:rFonts w:ascii="Arial" w:eastAsia="Times New Roman" w:hAnsi="Arial" w:cs="Arial"/>
          <w:sz w:val="25"/>
          <w:szCs w:val="25"/>
          <w:lang w:eastAsia="pl-PL"/>
        </w:rPr>
        <w:t>określonej na dzień 31.12.2019 roku (z wyłączeniem pracowników nieetatowych oraz kadry medycznej).</w:t>
      </w:r>
    </w:p>
    <w:p w14:paraId="64C92825" w14:textId="77777777" w:rsidR="00970709" w:rsidRPr="00AC5E18" w:rsidRDefault="00970709" w:rsidP="00970709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4574E" w14:textId="0CE9B7C0" w:rsidR="00C4602F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Kwota grantu w</w:t>
      </w:r>
      <w:r w:rsidR="00C4602F" w:rsidRPr="00A063D4">
        <w:rPr>
          <w:rFonts w:ascii="Arial" w:eastAsia="Times New Roman" w:hAnsi="Arial" w:cs="Arial"/>
          <w:sz w:val="25"/>
          <w:szCs w:val="25"/>
          <w:lang w:eastAsia="pl-PL"/>
        </w:rPr>
        <w:t>yliczana jest dla poszczególnych rodzajów zadań na podstawie następującego założenia:</w:t>
      </w:r>
    </w:p>
    <w:p w14:paraId="7D3AF01A" w14:textId="77777777" w:rsidR="00AC693A" w:rsidRPr="00A063D4" w:rsidRDefault="00AC693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A92D003" w14:textId="45DD481A" w:rsidR="00970709" w:rsidRPr="00970709" w:rsidRDefault="00571885" w:rsidP="00525C9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Wartość dodatkowego wynagrodzenia dla pracowników zatrudnionych na umowę o pracę zostaje określona maksymalnie do 1 820,00 zł brutto miesięcznie (maksymalnie przez okres 3 miesięcy) na jeden etat wraz 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 kosztami ponoszonymi przez pracodawcę oraz zgodnie z właściwymi przepisami prawa krajowego, przy wymogu zachowania średniej kwoty dodatku do wynagrodzeń w Domu Pomocy Społecznej  na poziomie 1.450,00 zł na etat miesięcznie. W przypadku zatrudnienia pracownika w niepełnym wymiarze czasu pracy wartość dodatkowego wynagrodzenia wypłacana jest proporcjonalnie. Za czas niewykonywania pracy dodatkowego wynagrodzenia nie wypłaca się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(z wyjątkiem urlopu wypoczynkowego).</w:t>
      </w:r>
    </w:p>
    <w:p w14:paraId="7EA9E448" w14:textId="6398F996" w:rsidR="00F613C2" w:rsidRP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CFA6E2A" w14:textId="4AD07D73" w:rsid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 w:rsidR="00AC693A"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31.12.2019 roku)</w:t>
      </w:r>
      <w:r w:rsidR="00AC693A">
        <w:rPr>
          <w:rFonts w:ascii="Arial" w:eastAsia="Times New Roman" w:hAnsi="Arial" w:cs="Arial"/>
          <w:color w:val="002060"/>
          <w:lang w:eastAsia="pl-PL"/>
        </w:rPr>
        <w:t>. Suma etatów w DPS wynosi 50,5.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 w:rsidR="00AC693A">
        <w:rPr>
          <w:rFonts w:ascii="Arial" w:eastAsia="Times New Roman" w:hAnsi="Arial" w:cs="Arial"/>
          <w:color w:val="002060"/>
          <w:lang w:eastAsia="pl-PL"/>
        </w:rPr>
        <w:t>wartość dodatkowego wynagrodzenia wszystkich pracowników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50,5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etatów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x 1450 zł brutto = 73 225 zł</w:t>
      </w:r>
      <w:r w:rsidR="00FA5F9A">
        <w:rPr>
          <w:rFonts w:ascii="Arial" w:eastAsia="Times New Roman" w:hAnsi="Arial" w:cs="Arial"/>
          <w:color w:val="002060"/>
          <w:lang w:eastAsia="pl-PL"/>
        </w:rPr>
        <w:t xml:space="preserve"> brutto</w:t>
      </w:r>
      <w:r w:rsidR="007F58A6">
        <w:rPr>
          <w:rFonts w:ascii="Arial" w:eastAsia="Times New Roman" w:hAnsi="Arial" w:cs="Arial"/>
          <w:color w:val="002060"/>
          <w:lang w:eastAsia="pl-PL"/>
        </w:rPr>
        <w:t xml:space="preserve"> miesięcznie x 3 miesiące = 219 675 zł brutto na cały okres realizacji projektu</w:t>
      </w:r>
      <w:r w:rsidR="00AC693A">
        <w:rPr>
          <w:rFonts w:ascii="Arial" w:eastAsia="Times New Roman" w:hAnsi="Arial" w:cs="Arial"/>
          <w:color w:val="002060"/>
          <w:lang w:eastAsia="pl-PL"/>
        </w:rPr>
        <w:t>.</w:t>
      </w:r>
    </w:p>
    <w:p w14:paraId="6217D340" w14:textId="77777777" w:rsidR="00AC693A" w:rsidRPr="00F613C2" w:rsidRDefault="00AC693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CF1BCE1" w14:textId="391CF6A7" w:rsidR="00FA5F9A" w:rsidRDefault="00C4602F" w:rsidP="00525C9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D0F6B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195B1E" w:rsidRPr="00ED0F6B">
        <w:rPr>
          <w:rFonts w:ascii="Arial" w:eastAsia="Times New Roman" w:hAnsi="Arial" w:cs="Arial"/>
          <w:sz w:val="25"/>
          <w:szCs w:val="25"/>
          <w:lang w:eastAsia="pl-PL"/>
        </w:rPr>
        <w:t>artość</w:t>
      </w:r>
      <w:r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3" w:name="_Hlk41473464"/>
      <w:r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kosztów </w:t>
      </w:r>
      <w:r w:rsidR="009955E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zakupu oraz </w:t>
      </w:r>
      <w:r w:rsidRPr="00ED0F6B">
        <w:rPr>
          <w:rFonts w:ascii="Arial" w:eastAsia="Times New Roman" w:hAnsi="Arial" w:cs="Arial"/>
          <w:sz w:val="25"/>
          <w:szCs w:val="25"/>
          <w:lang w:eastAsia="pl-PL"/>
        </w:rPr>
        <w:t>przeprowadzenia testów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na COVID-19 </w:t>
      </w:r>
      <w:bookmarkEnd w:id="3"/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dla pracowników zatrudnionych na umowę o pracę zostaje określona na 400 zł</w:t>
      </w:r>
      <w:r w:rsidR="00FA5F9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brutto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FA5F9A" w:rsidRPr="00ED0F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309CD" w:rsidRPr="00ED0F6B">
        <w:rPr>
          <w:rFonts w:ascii="Arial" w:eastAsia="Times New Roman" w:hAnsi="Arial" w:cs="Arial"/>
          <w:sz w:val="25"/>
          <w:szCs w:val="25"/>
          <w:lang w:eastAsia="pl-PL"/>
        </w:rPr>
        <w:t>W okresie realizacji projektu zakładane jest trzykrotne przeprowadzenie testu</w:t>
      </w:r>
      <w:r w:rsidR="007F58A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677E4F8" w14:textId="77777777" w:rsidR="003428A2" w:rsidRDefault="003428A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97895B2" w14:textId="3421F9C6" w:rsidR="00FA5F9A" w:rsidRPr="00F613C2" w:rsidRDefault="00FA5F9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3213AA81" w14:textId="0D47BB51" w:rsidR="00FA5F9A" w:rsidRDefault="00FA5F9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31</w:t>
      </w:r>
      <w:r>
        <w:rPr>
          <w:rFonts w:ascii="Arial" w:eastAsia="Times New Roman" w:hAnsi="Arial" w:cs="Arial"/>
          <w:color w:val="002060"/>
          <w:lang w:eastAsia="pl-PL"/>
        </w:rPr>
        <w:t>.</w:t>
      </w:r>
      <w:r w:rsidR="00ED0F6B">
        <w:rPr>
          <w:rFonts w:ascii="Arial" w:eastAsia="Times New Roman" w:hAnsi="Arial" w:cs="Arial"/>
          <w:color w:val="002060"/>
          <w:lang w:eastAsia="pl-PL"/>
        </w:rPr>
        <w:t>12.2019 roku).</w:t>
      </w:r>
      <w:r>
        <w:rPr>
          <w:rFonts w:ascii="Arial" w:eastAsia="Times New Roman" w:hAnsi="Arial" w:cs="Arial"/>
          <w:color w:val="002060"/>
          <w:lang w:eastAsia="pl-PL"/>
        </w:rPr>
        <w:t xml:space="preserve"> Suma zatrudnionych pracowników w DPS wynosi 51.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>
        <w:rPr>
          <w:rFonts w:ascii="Arial" w:eastAsia="Times New Roman" w:hAnsi="Arial" w:cs="Arial"/>
          <w:color w:val="002060"/>
          <w:lang w:eastAsia="pl-PL"/>
        </w:rPr>
        <w:t xml:space="preserve">wartość </w:t>
      </w:r>
      <w:r w:rsidRPr="00FA5F9A">
        <w:rPr>
          <w:rFonts w:ascii="Arial" w:eastAsia="Times New Roman" w:hAnsi="Arial" w:cs="Arial"/>
          <w:color w:val="002060"/>
          <w:lang w:eastAsia="pl-PL"/>
        </w:rPr>
        <w:t xml:space="preserve">kosztów zakupu oraz przeprowadzenia testów na COVID-19 </w:t>
      </w:r>
      <w:r>
        <w:rPr>
          <w:rFonts w:ascii="Arial" w:eastAsia="Times New Roman" w:hAnsi="Arial" w:cs="Arial"/>
          <w:color w:val="002060"/>
          <w:lang w:eastAsia="pl-PL"/>
        </w:rPr>
        <w:t xml:space="preserve">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8C1375">
        <w:rPr>
          <w:rFonts w:ascii="Arial" w:eastAsia="Times New Roman" w:hAnsi="Arial" w:cs="Arial"/>
          <w:color w:val="002060"/>
          <w:lang w:eastAsia="pl-PL"/>
        </w:rPr>
        <w:br/>
      </w:r>
      <w:r>
        <w:rPr>
          <w:rFonts w:ascii="Arial" w:eastAsia="Times New Roman" w:hAnsi="Arial" w:cs="Arial"/>
          <w:color w:val="002060"/>
          <w:lang w:eastAsia="pl-PL"/>
        </w:rPr>
        <w:t>51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>
        <w:rPr>
          <w:rFonts w:ascii="Arial" w:eastAsia="Times New Roman" w:hAnsi="Arial" w:cs="Arial"/>
          <w:color w:val="002060"/>
          <w:lang w:eastAsia="pl-PL"/>
        </w:rPr>
        <w:t xml:space="preserve"> x 400 zł brutto x 3</w:t>
      </w:r>
      <w:r w:rsidR="008C1375">
        <w:rPr>
          <w:rFonts w:ascii="Arial" w:eastAsia="Times New Roman" w:hAnsi="Arial" w:cs="Arial"/>
          <w:color w:val="002060"/>
          <w:lang w:eastAsia="pl-PL"/>
        </w:rPr>
        <w:t>-krotne wykonanie testu</w:t>
      </w:r>
      <w:r>
        <w:rPr>
          <w:rFonts w:ascii="Arial" w:eastAsia="Times New Roman" w:hAnsi="Arial" w:cs="Arial"/>
          <w:color w:val="002060"/>
          <w:lang w:eastAsia="pl-PL"/>
        </w:rPr>
        <w:t xml:space="preserve"> = 61 200 zł</w:t>
      </w:r>
      <w:r w:rsidR="000744C2">
        <w:rPr>
          <w:rFonts w:ascii="Arial" w:eastAsia="Times New Roman" w:hAnsi="Arial" w:cs="Arial"/>
          <w:color w:val="002060"/>
          <w:lang w:eastAsia="pl-PL"/>
        </w:rPr>
        <w:t xml:space="preserve"> brutto</w:t>
      </w:r>
      <w:r>
        <w:rPr>
          <w:rFonts w:ascii="Arial" w:eastAsia="Times New Roman" w:hAnsi="Arial" w:cs="Arial"/>
          <w:color w:val="002060"/>
          <w:lang w:eastAsia="pl-PL"/>
        </w:rPr>
        <w:t>.</w:t>
      </w:r>
    </w:p>
    <w:p w14:paraId="2D446581" w14:textId="77777777" w:rsidR="00B0470A" w:rsidRDefault="00B0470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403011" w14:textId="5B8648BD" w:rsidR="00BD7475" w:rsidRDefault="00C4602F" w:rsidP="00525C9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4" w:name="_Hlk41474308"/>
      <w:r w:rsidRPr="00BD7475">
        <w:rPr>
          <w:rFonts w:ascii="Arial" w:eastAsia="Times New Roman" w:hAnsi="Arial" w:cs="Arial"/>
          <w:sz w:val="25"/>
          <w:szCs w:val="25"/>
          <w:lang w:eastAsia="pl-PL"/>
        </w:rPr>
        <w:t>Wartość zakupów wyposażenia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End w:id="4"/>
      <w:r w:rsidR="000744C2">
        <w:rPr>
          <w:rFonts w:ascii="Arial" w:eastAsia="Times New Roman" w:hAnsi="Arial" w:cs="Arial"/>
          <w:sz w:val="25"/>
          <w:szCs w:val="25"/>
          <w:lang w:eastAsia="pl-PL"/>
        </w:rPr>
        <w:t>zostaje określona jako ilo</w:t>
      </w:r>
      <w:r w:rsidR="00223D83">
        <w:rPr>
          <w:rFonts w:ascii="Arial" w:eastAsia="Times New Roman" w:hAnsi="Arial" w:cs="Arial"/>
          <w:sz w:val="25"/>
          <w:szCs w:val="25"/>
          <w:lang w:eastAsia="pl-PL"/>
        </w:rPr>
        <w:t>raz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całkowit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ej kwoty przeznaczonej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na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zakup wyposażenia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(6 738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> 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545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 xml:space="preserve"> zł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ej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liczba pensjonariuszy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 wszystkich domach pomocy społecznej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(3 245)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pomnożonej przez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pensjonariuszy w danym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A2D99CB" w14:textId="5F1FD8F8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7C9DD82" w14:textId="77777777" w:rsidR="000744C2" w:rsidRPr="00F613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6439693" w14:textId="2DBC6005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dzień 31.12.2019 roku)</w:t>
      </w:r>
      <w:r>
        <w:rPr>
          <w:rFonts w:ascii="Arial" w:eastAsia="Times New Roman" w:hAnsi="Arial" w:cs="Arial"/>
          <w:color w:val="002060"/>
          <w:lang w:eastAsia="pl-PL"/>
        </w:rPr>
        <w:t xml:space="preserve">. </w:t>
      </w:r>
      <w:r w:rsidRPr="000744C2">
        <w:rPr>
          <w:rFonts w:ascii="Arial" w:eastAsia="Times New Roman" w:hAnsi="Arial" w:cs="Arial"/>
          <w:color w:val="002060"/>
          <w:lang w:eastAsia="pl-PL"/>
        </w:rPr>
        <w:t>Wartość zakupów wyposażenia oraz środków ochrony indywidulanej</w:t>
      </w:r>
      <w:r>
        <w:rPr>
          <w:rFonts w:ascii="Arial" w:eastAsia="Times New Roman" w:hAnsi="Arial" w:cs="Arial"/>
          <w:color w:val="002060"/>
          <w:lang w:eastAsia="pl-PL"/>
        </w:rPr>
        <w:t xml:space="preserve"> dla danego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>
        <w:rPr>
          <w:rFonts w:ascii="Arial" w:eastAsia="Times New Roman" w:hAnsi="Arial" w:cs="Arial"/>
          <w:color w:val="002060"/>
          <w:lang w:eastAsia="pl-PL"/>
        </w:rPr>
        <w:t xml:space="preserve"> 6 738 545 zł brutto / 3</w:t>
      </w:r>
      <w:r w:rsidR="008C1375">
        <w:rPr>
          <w:rFonts w:ascii="Arial" w:eastAsia="Times New Roman" w:hAnsi="Arial" w:cs="Arial"/>
          <w:color w:val="002060"/>
          <w:lang w:eastAsia="pl-PL"/>
        </w:rPr>
        <w:t> </w:t>
      </w:r>
      <w:r>
        <w:rPr>
          <w:rFonts w:ascii="Arial" w:eastAsia="Times New Roman" w:hAnsi="Arial" w:cs="Arial"/>
          <w:color w:val="002060"/>
          <w:lang w:eastAsia="pl-PL"/>
        </w:rPr>
        <w:t>245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ogółu mieszkańców DPS</w:t>
      </w:r>
      <w:r>
        <w:rPr>
          <w:rFonts w:ascii="Arial" w:eastAsia="Times New Roman" w:hAnsi="Arial" w:cs="Arial"/>
          <w:color w:val="002060"/>
          <w:lang w:eastAsia="pl-PL"/>
        </w:rPr>
        <w:t xml:space="preserve"> x 50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mieszkańców danego DPS</w:t>
      </w:r>
      <w:r>
        <w:rPr>
          <w:rFonts w:ascii="Arial" w:eastAsia="Times New Roman" w:hAnsi="Arial" w:cs="Arial"/>
          <w:color w:val="002060"/>
          <w:lang w:eastAsia="pl-PL"/>
        </w:rPr>
        <w:t xml:space="preserve"> = </w:t>
      </w:r>
      <w:r w:rsidR="00ED0F6B">
        <w:rPr>
          <w:rFonts w:ascii="Arial" w:eastAsia="Times New Roman" w:hAnsi="Arial" w:cs="Arial"/>
          <w:color w:val="002060"/>
          <w:lang w:eastAsia="pl-PL"/>
        </w:rPr>
        <w:t>103 829,67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brutto.</w:t>
      </w:r>
    </w:p>
    <w:p w14:paraId="63D39A0D" w14:textId="77777777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9B21ACC" w14:textId="5523EA6E" w:rsidR="004408F8" w:rsidRPr="00571885" w:rsidRDefault="00195B1E" w:rsidP="00525C9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4472C4" w:themeColor="accent1"/>
          <w:sz w:val="25"/>
          <w:szCs w:val="25"/>
          <w:lang w:eastAsia="pl-PL"/>
        </w:rPr>
      </w:pPr>
      <w:bookmarkStart w:id="5" w:name="_Hlk41910323"/>
      <w:r w:rsidRPr="003329B5"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</w:t>
      </w:r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miejsc </w:t>
      </w:r>
      <w:proofErr w:type="spellStart"/>
      <w:r w:rsidRPr="004408F8">
        <w:rPr>
          <w:rFonts w:ascii="Arial" w:eastAsia="Times New Roman" w:hAnsi="Arial" w:cs="Arial"/>
          <w:sz w:val="25"/>
          <w:szCs w:val="25"/>
          <w:lang w:eastAsia="pl-PL"/>
        </w:rPr>
        <w:t>wytchnieniowych</w:t>
      </w:r>
      <w:proofErr w:type="spellEnd"/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 </w:t>
      </w:r>
      <w:r w:rsidR="00FF71EA" w:rsidRPr="004408F8">
        <w:rPr>
          <w:rFonts w:ascii="Arial" w:eastAsia="Times New Roman" w:hAnsi="Arial" w:cs="Arial"/>
          <w:sz w:val="25"/>
          <w:szCs w:val="25"/>
          <w:lang w:eastAsia="pl-PL"/>
        </w:rPr>
        <w:t>zostaje określona</w:t>
      </w:r>
      <w:r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428A2" w:rsidRPr="004408F8">
        <w:rPr>
          <w:rFonts w:ascii="Arial" w:eastAsia="Times New Roman" w:hAnsi="Arial" w:cs="Arial"/>
          <w:sz w:val="25"/>
          <w:szCs w:val="25"/>
          <w:lang w:eastAsia="pl-PL"/>
        </w:rPr>
        <w:t>według wzoru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="003428A2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6" w:name="_Hlk41042995"/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całkowita kwota przeznaczona na zadanie (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>920 000 zł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7" w:name="_Hlk41042438"/>
      <w:r w:rsidR="002602C5"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640216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pracowników 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zatrudnionych we wszystkich domach pomocy społecznej (1913)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x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pracowników zatrudnionych w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 xml:space="preserve"> danym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="004408F8" w:rsidRPr="004408F8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4408F8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5DE567C2" w14:textId="2AD7A9A9" w:rsidR="00571885" w:rsidRDefault="00571885" w:rsidP="0057188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E9474DD" w14:textId="1BEC274A" w:rsidR="00571885" w:rsidRDefault="00571885" w:rsidP="0057188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AC0D09" w14:textId="77777777" w:rsidR="00571885" w:rsidRPr="004408F8" w:rsidRDefault="00571885" w:rsidP="0057188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4472C4" w:themeColor="accent1"/>
          <w:sz w:val="25"/>
          <w:szCs w:val="25"/>
          <w:lang w:eastAsia="pl-PL"/>
        </w:rPr>
      </w:pPr>
    </w:p>
    <w:bookmarkEnd w:id="5"/>
    <w:p w14:paraId="4AEBA26E" w14:textId="77777777" w:rsidR="004408F8" w:rsidRDefault="004408F8" w:rsidP="004408F8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1012F4BE" w14:textId="43025109" w:rsidR="00640216" w:rsidRPr="004408F8" w:rsidRDefault="00640216" w:rsidP="004408F8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lastRenderedPageBreak/>
        <w:t>Przykład:</w:t>
      </w:r>
    </w:p>
    <w:p w14:paraId="4A95A6FF" w14:textId="24EDE4CD" w:rsidR="00195B1E" w:rsidRDefault="00640216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 xml:space="preserve">DPS zatrudnia 100 pracowników, a łączna liczba zatrudnionych pracowników we wszystkich DPS wynosi 1913 to: </w:t>
      </w:r>
      <w:r w:rsidR="002602C5">
        <w:rPr>
          <w:rFonts w:ascii="Arial" w:eastAsia="Times New Roman" w:hAnsi="Arial" w:cs="Arial"/>
          <w:color w:val="002060"/>
          <w:lang w:eastAsia="pl-PL"/>
        </w:rPr>
        <w:t xml:space="preserve">920 000 zł / 1913 x 100 = 48 092,01 zł  </w:t>
      </w:r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(to jest łączna kwota dla </w:t>
      </w:r>
      <w:r w:rsidR="002602C5">
        <w:rPr>
          <w:rFonts w:ascii="Arial" w:eastAsia="Times New Roman" w:hAnsi="Arial" w:cs="Arial"/>
          <w:color w:val="002060"/>
          <w:lang w:eastAsia="pl-PL"/>
        </w:rPr>
        <w:t>danego</w:t>
      </w:r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 DPS na usługi </w:t>
      </w:r>
      <w:proofErr w:type="spellStart"/>
      <w:r w:rsidR="00BA2958" w:rsidRPr="004408F8">
        <w:rPr>
          <w:rFonts w:ascii="Arial" w:eastAsia="Times New Roman" w:hAnsi="Arial" w:cs="Arial"/>
          <w:color w:val="002060"/>
          <w:lang w:eastAsia="pl-PL"/>
        </w:rPr>
        <w:t>wytchnieniowe</w:t>
      </w:r>
      <w:proofErr w:type="spellEnd"/>
      <w:r w:rsidR="00BA2958" w:rsidRPr="004408F8">
        <w:rPr>
          <w:rFonts w:ascii="Arial" w:eastAsia="Times New Roman" w:hAnsi="Arial" w:cs="Arial"/>
          <w:color w:val="002060"/>
          <w:lang w:eastAsia="pl-PL"/>
        </w:rPr>
        <w:t xml:space="preserve"> dla pracowników)</w:t>
      </w:r>
      <w:r w:rsidR="00715474" w:rsidRPr="004408F8">
        <w:rPr>
          <w:rFonts w:ascii="Arial" w:eastAsia="Times New Roman" w:hAnsi="Arial" w:cs="Arial"/>
          <w:color w:val="002060"/>
          <w:lang w:eastAsia="pl-PL"/>
        </w:rPr>
        <w:t>.</w:t>
      </w:r>
    </w:p>
    <w:p w14:paraId="556F4B30" w14:textId="77777777" w:rsidR="002602C5" w:rsidRPr="004408F8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bookmarkEnd w:id="6"/>
    <w:bookmarkEnd w:id="7"/>
    <w:p w14:paraId="55C4FC94" w14:textId="30F94DB8" w:rsidR="00BA2958" w:rsidRPr="00BA2958" w:rsidRDefault="00BA2958" w:rsidP="00525C9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kwarantanny dla mieszkańców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 xml:space="preserve">domów pomocy społecznej zostaje określona według wzoru: 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>całkowita kwota przeznaczona na zadanie (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1 150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000 zł)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ogóln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we wszystkich domach pomocy społecznej (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3245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x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liczbę </w:t>
      </w:r>
      <w:r w:rsidR="002602C5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2602C5"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w danym 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8880F2B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011AA451" w14:textId="216771DE" w:rsidR="00BA2958" w:rsidRPr="002602C5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2602C5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7DD84416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100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, a łączna liczba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we wszystkich DPS wynosi </w:t>
      </w:r>
      <w:r>
        <w:rPr>
          <w:rFonts w:ascii="Arial" w:eastAsia="Times New Roman" w:hAnsi="Arial" w:cs="Arial"/>
          <w:color w:val="002060"/>
          <w:lang w:eastAsia="pl-PL"/>
        </w:rPr>
        <w:t>3245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to: </w:t>
      </w:r>
      <w:r>
        <w:rPr>
          <w:rFonts w:ascii="Arial" w:eastAsia="Times New Roman" w:hAnsi="Arial" w:cs="Arial"/>
          <w:color w:val="002060"/>
          <w:lang w:eastAsia="pl-PL"/>
        </w:rPr>
        <w:t>1 150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000 zł / </w:t>
      </w:r>
      <w:r>
        <w:rPr>
          <w:rFonts w:ascii="Arial" w:eastAsia="Times New Roman" w:hAnsi="Arial" w:cs="Arial"/>
          <w:color w:val="002060"/>
          <w:lang w:eastAsia="pl-PL"/>
        </w:rPr>
        <w:t>3245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x 100 = </w:t>
      </w:r>
      <w:r>
        <w:rPr>
          <w:rFonts w:ascii="Arial" w:eastAsia="Times New Roman" w:hAnsi="Arial" w:cs="Arial"/>
          <w:color w:val="002060"/>
          <w:lang w:eastAsia="pl-PL"/>
        </w:rPr>
        <w:t>35 440 zł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 (to jest łączna kwota dla </w:t>
      </w:r>
      <w:r>
        <w:rPr>
          <w:rFonts w:ascii="Arial" w:eastAsia="Times New Roman" w:hAnsi="Arial" w:cs="Arial"/>
          <w:color w:val="002060"/>
          <w:lang w:eastAsia="pl-PL"/>
        </w:rPr>
        <w:t>danego</w:t>
      </w:r>
      <w:r w:rsidRPr="002602C5">
        <w:rPr>
          <w:rFonts w:ascii="Arial" w:eastAsia="Times New Roman" w:hAnsi="Arial" w:cs="Arial"/>
          <w:color w:val="002060"/>
          <w:lang w:eastAsia="pl-PL"/>
        </w:rPr>
        <w:t xml:space="preserve"> DPS na usługi kwarantanny dla mieszkańców).</w:t>
      </w:r>
    </w:p>
    <w:p w14:paraId="761E7623" w14:textId="58EC5726" w:rsidR="00BA2958" w:rsidRPr="002602C5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2602C5">
        <w:rPr>
          <w:rFonts w:ascii="Arial" w:eastAsia="Times New Roman" w:hAnsi="Arial" w:cs="Arial"/>
          <w:color w:val="002060"/>
          <w:lang w:eastAsia="pl-PL"/>
        </w:rPr>
        <w:t xml:space="preserve"> </w:t>
      </w:r>
    </w:p>
    <w:p w14:paraId="5F12DAD0" w14:textId="7BC10A31" w:rsidR="002602C5" w:rsidRPr="002602C5" w:rsidRDefault="002602C5" w:rsidP="00525C9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Wartość usługi </w:t>
      </w:r>
      <w:r>
        <w:rPr>
          <w:rFonts w:ascii="Arial" w:eastAsia="Times New Roman" w:hAnsi="Arial" w:cs="Arial"/>
          <w:sz w:val="25"/>
          <w:szCs w:val="25"/>
          <w:lang w:eastAsia="pl-PL"/>
        </w:rPr>
        <w:t>zmiany organizacji pracy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domów pomocy społecznej 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>zostaje określona według wzoru: całkowita kwota przeznaczona na zadanie (</w:t>
      </w:r>
      <w:r>
        <w:rPr>
          <w:rFonts w:ascii="Arial" w:eastAsia="Times New Roman" w:hAnsi="Arial" w:cs="Arial"/>
          <w:sz w:val="25"/>
          <w:szCs w:val="25"/>
          <w:lang w:eastAsia="pl-PL"/>
        </w:rPr>
        <w:t>1 260</w:t>
      </w:r>
      <w:r w:rsidRPr="002602C5">
        <w:rPr>
          <w:rFonts w:ascii="Arial" w:eastAsia="Times New Roman" w:hAnsi="Arial" w:cs="Arial"/>
          <w:sz w:val="25"/>
          <w:szCs w:val="25"/>
          <w:lang w:eastAsia="pl-PL"/>
        </w:rPr>
        <w:t xml:space="preserve"> 000 zł) / ogólną liczbę pracowników zatrudnionych we wszystkich domach pomocy społecznej (1913) x liczbę pracowników zatrudnionych w danym domu pomocy społecznej.</w:t>
      </w:r>
    </w:p>
    <w:p w14:paraId="1D34417A" w14:textId="77777777" w:rsidR="002602C5" w:rsidRDefault="002602C5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61DEB6C" w14:textId="77777777" w:rsidR="002602C5" w:rsidRPr="004408F8" w:rsidRDefault="002602C5" w:rsidP="002602C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04DD6EE5" w14:textId="6BCD9A60" w:rsidR="002602C5" w:rsidRDefault="002602C5" w:rsidP="002602C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4408F8">
        <w:rPr>
          <w:rFonts w:ascii="Arial" w:eastAsia="Times New Roman" w:hAnsi="Arial" w:cs="Arial"/>
          <w:color w:val="002060"/>
          <w:lang w:eastAsia="pl-PL"/>
        </w:rPr>
        <w:t xml:space="preserve">DPS zatrudnia 100 pracowników, a łączna liczba zatrudnionych pracowników we wszystkich DPS wynosi 1913 to: </w:t>
      </w:r>
      <w:r>
        <w:rPr>
          <w:rFonts w:ascii="Arial" w:eastAsia="Times New Roman" w:hAnsi="Arial" w:cs="Arial"/>
          <w:color w:val="002060"/>
          <w:lang w:eastAsia="pl-PL"/>
        </w:rPr>
        <w:t xml:space="preserve">1 260 000 zł / 1913 x 100 = </w:t>
      </w:r>
      <w:r w:rsidR="00D205BF">
        <w:rPr>
          <w:rFonts w:ascii="Arial" w:eastAsia="Times New Roman" w:hAnsi="Arial" w:cs="Arial"/>
          <w:color w:val="002060"/>
          <w:lang w:eastAsia="pl-PL"/>
        </w:rPr>
        <w:t>65 866</w:t>
      </w:r>
      <w:r>
        <w:rPr>
          <w:rFonts w:ascii="Arial" w:eastAsia="Times New Roman" w:hAnsi="Arial" w:cs="Arial"/>
          <w:color w:val="002060"/>
          <w:lang w:eastAsia="pl-PL"/>
        </w:rPr>
        <w:t xml:space="preserve"> zł  </w:t>
      </w:r>
      <w:r w:rsidRPr="004408F8">
        <w:rPr>
          <w:rFonts w:ascii="Arial" w:eastAsia="Times New Roman" w:hAnsi="Arial" w:cs="Arial"/>
          <w:color w:val="002060"/>
          <w:lang w:eastAsia="pl-PL"/>
        </w:rPr>
        <w:t xml:space="preserve">(to jest łączna kwota dla </w:t>
      </w:r>
      <w:r>
        <w:rPr>
          <w:rFonts w:ascii="Arial" w:eastAsia="Times New Roman" w:hAnsi="Arial" w:cs="Arial"/>
          <w:color w:val="002060"/>
          <w:lang w:eastAsia="pl-PL"/>
        </w:rPr>
        <w:t>danego</w:t>
      </w:r>
      <w:r w:rsidRPr="004408F8">
        <w:rPr>
          <w:rFonts w:ascii="Arial" w:eastAsia="Times New Roman" w:hAnsi="Arial" w:cs="Arial"/>
          <w:color w:val="002060"/>
          <w:lang w:eastAsia="pl-PL"/>
        </w:rPr>
        <w:t xml:space="preserve"> DPS na usługi </w:t>
      </w:r>
      <w:r w:rsidR="00D205BF">
        <w:rPr>
          <w:rFonts w:ascii="Arial" w:eastAsia="Times New Roman" w:hAnsi="Arial" w:cs="Arial"/>
          <w:color w:val="002060"/>
          <w:lang w:eastAsia="pl-PL"/>
        </w:rPr>
        <w:t xml:space="preserve">zmiany organizacji pracy </w:t>
      </w:r>
      <w:r w:rsidRPr="004408F8">
        <w:rPr>
          <w:rFonts w:ascii="Arial" w:eastAsia="Times New Roman" w:hAnsi="Arial" w:cs="Arial"/>
          <w:color w:val="002060"/>
          <w:lang w:eastAsia="pl-PL"/>
        </w:rPr>
        <w:t>dla pracowników).</w:t>
      </w:r>
    </w:p>
    <w:p w14:paraId="6CB92BF0" w14:textId="52AB1A01" w:rsidR="00BA2958" w:rsidRPr="00715474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230F9E0" w14:textId="642C3D88" w:rsidR="00BD7475" w:rsidRPr="00715474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</w:t>
      </w:r>
      <w:r w:rsidR="00B1118B">
        <w:rPr>
          <w:rFonts w:ascii="Arial" w:eastAsia="Times New Roman" w:hAnsi="Arial" w:cs="Arial"/>
          <w:sz w:val="25"/>
          <w:szCs w:val="25"/>
          <w:lang w:eastAsia="pl-PL"/>
        </w:rPr>
        <w:t xml:space="preserve">łączna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kwota wynikająca ze złożonych ofert, przekracza wysokość środków przeznaczonych na realizację zada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ń wymienionych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br/>
        <w:t>w Rozdziale V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, pkt.2 Regulaminu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C15C8">
        <w:rPr>
          <w:rFonts w:ascii="Arial" w:eastAsia="Times New Roman" w:hAnsi="Arial" w:cs="Arial"/>
          <w:sz w:val="25"/>
          <w:szCs w:val="25"/>
          <w:lang w:eastAsia="pl-PL"/>
        </w:rPr>
        <w:t xml:space="preserve">Realizator Projektu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zastrzega sobie możliwość przyznania dofinansowania w mniejszej wysokości niż wnioskowana.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2110D055" w14:textId="6D95F82F" w:rsidR="00C4602F" w:rsidRP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Wnioskodawca może złożyć 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maksymalnie jeden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Wnios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ek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dla każdego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z </w:t>
      </w:r>
      <w:proofErr w:type="spellStart"/>
      <w:r w:rsidRPr="001403E8">
        <w:rPr>
          <w:rFonts w:ascii="Arial" w:eastAsia="Times New Roman" w:hAnsi="Arial" w:cs="Arial"/>
          <w:sz w:val="25"/>
          <w:szCs w:val="25"/>
          <w:lang w:eastAsia="pl-PL"/>
        </w:rPr>
        <w:t>Grantobiorców</w:t>
      </w:r>
      <w:proofErr w:type="spellEnd"/>
      <w:r w:rsidRPr="001403E8">
        <w:rPr>
          <w:rFonts w:ascii="Arial" w:eastAsia="Times New Roman" w:hAnsi="Arial" w:cs="Arial"/>
          <w:sz w:val="25"/>
          <w:szCs w:val="25"/>
          <w:lang w:eastAsia="pl-PL"/>
        </w:rPr>
        <w:t>, dla którego jest organem prowadzącym.</w:t>
      </w:r>
    </w:p>
    <w:p w14:paraId="55B5F59E" w14:textId="77777777" w:rsidR="00B1118B" w:rsidRPr="00715474" w:rsidRDefault="00B1118B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150E5F" w14:textId="6225B890" w:rsidR="00C4602F" w:rsidRPr="00B1118B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 xml:space="preserve">przypadku wystąpienia ogniska zakażenia </w:t>
      </w:r>
      <w:proofErr w:type="spellStart"/>
      <w:r w:rsidR="00457893">
        <w:rPr>
          <w:rFonts w:ascii="Arial" w:eastAsia="Times New Roman" w:hAnsi="Arial" w:cs="Arial"/>
          <w:sz w:val="25"/>
          <w:szCs w:val="25"/>
          <w:lang w:eastAsia="pl-PL"/>
        </w:rPr>
        <w:t>koronawirusem</w:t>
      </w:r>
      <w:proofErr w:type="spellEnd"/>
      <w:r w:rsidR="00457893">
        <w:rPr>
          <w:rFonts w:ascii="Arial" w:eastAsia="Times New Roman" w:hAnsi="Arial" w:cs="Arial"/>
          <w:sz w:val="25"/>
          <w:szCs w:val="25"/>
          <w:lang w:eastAsia="pl-PL"/>
        </w:rPr>
        <w:t xml:space="preserve"> w danym domu pomocy społecznej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Wnioskodawca</w:t>
      </w:r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może wystąpić z dodatkowym Wnioskiem</w:t>
      </w:r>
      <w:r w:rsidR="00090AD1">
        <w:rPr>
          <w:rFonts w:ascii="Arial" w:eastAsia="Times New Roman" w:hAnsi="Arial" w:cs="Arial"/>
          <w:sz w:val="25"/>
          <w:szCs w:val="25"/>
          <w:lang w:eastAsia="pl-PL"/>
        </w:rPr>
        <w:t xml:space="preserve"> dla danego </w:t>
      </w:r>
      <w:proofErr w:type="spellStart"/>
      <w:r w:rsidR="00090AD1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, który w przypadku posiadanych środków finansowych </w:t>
      </w:r>
      <w:proofErr w:type="spellStart"/>
      <w:r w:rsidRPr="00B1118B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B1118B">
        <w:rPr>
          <w:rFonts w:ascii="Arial" w:eastAsia="Times New Roman" w:hAnsi="Arial" w:cs="Arial"/>
          <w:sz w:val="25"/>
          <w:szCs w:val="25"/>
          <w:lang w:eastAsia="pl-PL"/>
        </w:rPr>
        <w:t xml:space="preserve"> rozpatrzy zgodnie z zapisami Rozdziału IV niniejszego regulaminu.</w:t>
      </w:r>
      <w:r w:rsidR="00090AD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B4F1112" w14:textId="77777777" w:rsidR="00B1118B" w:rsidRPr="00B1118B" w:rsidRDefault="00B1118B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BD5080C" w14:textId="74ACA192" w:rsidR="00C4602F" w:rsidRPr="00F255DE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W przypadku, o którym mowa w ust. </w:t>
      </w:r>
      <w:r w:rsidR="00B1118B" w:rsidRPr="00F255DE">
        <w:rPr>
          <w:rFonts w:ascii="Arial" w:eastAsia="Times New Roman" w:hAnsi="Arial" w:cs="Arial"/>
          <w:sz w:val="25"/>
          <w:szCs w:val="25"/>
          <w:lang w:eastAsia="pl-PL"/>
        </w:rPr>
        <w:t>5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 wysokość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 Grantu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 oraz termin 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jego 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>rozliczenia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 xml:space="preserve">ustala Realizator </w:t>
      </w:r>
      <w:r w:rsidR="00B1118B" w:rsidRPr="00F255DE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F255DE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EC1DF2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2A255619" w14:textId="77777777" w:rsidR="00F255DE" w:rsidRPr="00F255DE" w:rsidRDefault="00F255DE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378938" w14:textId="40C5A835" w:rsidR="00517055" w:rsidRPr="00517055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W przypadku braku środków finansowych na udzielenie Grantu, o którym mowa w ust. </w:t>
      </w:r>
      <w:r w:rsidR="00F255DE" w:rsidRPr="00517055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, Realizator </w:t>
      </w:r>
      <w:r w:rsidR="00F255DE" w:rsidRPr="0051705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rojektu informuje Wnioskodawcę o tym fakcie</w:t>
      </w:r>
      <w:r w:rsidR="0051705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i odmawia przyznania pomocy.</w:t>
      </w:r>
    </w:p>
    <w:p w14:paraId="50FEF949" w14:textId="77777777" w:rsidR="00517055" w:rsidRPr="00517055" w:rsidRDefault="00517055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76F450" w14:textId="4480C54D" w:rsid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Grant udzielany jest na okres nie dłuższy niż do 31.</w:t>
      </w:r>
      <w:r w:rsidR="004C7908">
        <w:rPr>
          <w:rFonts w:ascii="Arial" w:eastAsia="Times New Roman" w:hAnsi="Arial" w:cs="Arial"/>
          <w:sz w:val="25"/>
          <w:szCs w:val="25"/>
          <w:lang w:eastAsia="pl-PL"/>
        </w:rPr>
        <w:t>10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>.2020 r</w:t>
      </w:r>
      <w:r w:rsidR="00457B16" w:rsidRPr="001403E8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517055" w:rsidRPr="001403E8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Jednocześnie Realizator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dopuszcza możliwość ponoszenia wydatków w okresie od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czerwc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a 2020 r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 xml:space="preserve">oku do dnia zawarcia umowy. 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Wnioskodawca / </w:t>
      </w:r>
      <w:proofErr w:type="spellStart"/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ma możliwość zrefundowania wydatków poniesionych 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1 czerwca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2020 roku</w:t>
      </w:r>
      <w:r w:rsidR="003C1D66" w:rsidRPr="003C1D66">
        <w:rPr>
          <w:rFonts w:ascii="Arial" w:eastAsia="Times New Roman" w:hAnsi="Arial" w:cs="Arial"/>
          <w:sz w:val="25"/>
          <w:szCs w:val="25"/>
          <w:lang w:eastAsia="pl-PL"/>
        </w:rPr>
        <w:t>, a obejmujących okres przed zawarciem umowy o udzielenie grantu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7B562478" w14:textId="5CACD078" w:rsidR="00517055" w:rsidRPr="001403E8" w:rsidRDefault="00517055" w:rsidP="001403E8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615CDBA" w14:textId="0B63985C" w:rsidR="00517055" w:rsidRPr="00970709" w:rsidRDefault="00517055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17055">
        <w:rPr>
          <w:rFonts w:ascii="Arial" w:eastAsia="Times New Roman" w:hAnsi="Arial" w:cs="Arial"/>
          <w:sz w:val="25"/>
          <w:szCs w:val="25"/>
          <w:lang w:eastAsia="pl-PL"/>
        </w:rPr>
        <w:t>Okres realizacji zadań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przez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Wnioskodawców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w ramach projektu grantowego oraz złożenie rozliczenia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potwierdzającego realizacje projektu grantowego zostanie określon</w:t>
      </w:r>
      <w:r w:rsidRPr="0051705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w umowie o powierzenie </w:t>
      </w:r>
      <w:r w:rsidR="003C1D66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="00C4602F" w:rsidRPr="00517055">
        <w:rPr>
          <w:rFonts w:ascii="Arial" w:eastAsia="Times New Roman" w:hAnsi="Arial" w:cs="Arial"/>
          <w:sz w:val="25"/>
          <w:szCs w:val="25"/>
          <w:lang w:eastAsia="pl-PL"/>
        </w:rPr>
        <w:t>rantu.</w:t>
      </w:r>
      <w:r w:rsidR="00270D13" w:rsidRPr="005170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08B145B9" w14:textId="77777777" w:rsidR="00A022E6" w:rsidRDefault="00A022E6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424619" w14:textId="4EA56C2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8" w:name="_Hlk45628053"/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52782D1" w14:textId="67882C3C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KOSZTY KWALIFIKOWALNE I NIEKWALIFIKOWALNE</w:t>
      </w:r>
    </w:p>
    <w:p w14:paraId="5D40A5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B202A5" w14:textId="140E2AE9" w:rsidR="00270D13" w:rsidRPr="00457B16" w:rsidRDefault="00230276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Koszty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poniesione w ramach Grantu</w:t>
      </w:r>
      <w:r w:rsidR="00270D13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>są uznane za kwalifikowalne, jeśli:</w:t>
      </w:r>
    </w:p>
    <w:p w14:paraId="4A8E1FD3" w14:textId="16A91166" w:rsidR="00F42DFD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dotyczą wsparcia pracowników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faktycznie wykonujących pracę</w:t>
      </w:r>
      <w:r w:rsidR="007915E9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w warunkach epidemicznych, obciążoną ryzykiem własnego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zachorowania,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którzy bezpośrednio pracują z osobami starszymi, przewlekle lub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terminalnie chorymi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osobami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 xml:space="preserve">z niepełnosprawnościami 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457B16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najbardziej narażonymi na </w:t>
      </w:r>
      <w:r w:rsidR="00F42DFD">
        <w:rPr>
          <w:rFonts w:ascii="Arial" w:eastAsia="Times New Roman" w:hAnsi="Arial" w:cs="Arial"/>
          <w:sz w:val="25"/>
          <w:szCs w:val="25"/>
          <w:lang w:eastAsia="pl-PL"/>
        </w:rPr>
        <w:t xml:space="preserve">zachorowania na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COVID-19,</w:t>
      </w:r>
    </w:p>
    <w:p w14:paraId="5240993A" w14:textId="77777777" w:rsidR="00F42DFD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są racjonalne i efektywne, </w:t>
      </w:r>
    </w:p>
    <w:p w14:paraId="2CFF3FE8" w14:textId="009A4F01" w:rsidR="00F42DFD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zostały faktycznie poniesione w okresie wskazanym we Wniosku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i dotyczą okresu od 1.0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.2020 do 31.</w:t>
      </w:r>
      <w:r w:rsidR="004C7908">
        <w:rPr>
          <w:rFonts w:ascii="Arial" w:eastAsia="Times New Roman" w:hAnsi="Arial" w:cs="Arial"/>
          <w:sz w:val="25"/>
          <w:szCs w:val="25"/>
          <w:lang w:eastAsia="pl-PL"/>
        </w:rPr>
        <w:t>10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.2020,</w:t>
      </w:r>
    </w:p>
    <w:p w14:paraId="0DE50961" w14:textId="4A190D33" w:rsidR="00782B72" w:rsidRPr="00782B72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>są udokumentowane</w:t>
      </w:r>
      <w:r w:rsidR="00F42DFD" w:rsidRPr="00F42DFD">
        <w:rPr>
          <w:rFonts w:ascii="Arial" w:eastAsia="Times New Roman" w:hAnsi="Arial" w:cs="Arial"/>
          <w:sz w:val="25"/>
          <w:szCs w:val="25"/>
        </w:rPr>
        <w:t xml:space="preserve"> w formie dokumentów księgowych, </w:t>
      </w:r>
      <w:r w:rsidR="00F42DFD" w:rsidRPr="00D74186">
        <w:rPr>
          <w:rFonts w:ascii="Arial" w:eastAsia="Times New Roman" w:hAnsi="Arial" w:cs="Arial"/>
          <w:sz w:val="25"/>
          <w:szCs w:val="25"/>
        </w:rPr>
        <w:t>tj.: listy płac, dowody zapłaty, faktury, rachunku, wyciągi bankowe (z uwzględnieniem składek Z</w:t>
      </w:r>
      <w:r w:rsidR="00D74186">
        <w:rPr>
          <w:rFonts w:ascii="Arial" w:eastAsia="Times New Roman" w:hAnsi="Arial" w:cs="Arial"/>
          <w:sz w:val="25"/>
          <w:szCs w:val="25"/>
        </w:rPr>
        <w:t>akład</w:t>
      </w:r>
      <w:r w:rsidR="00854321">
        <w:rPr>
          <w:rFonts w:ascii="Arial" w:eastAsia="Times New Roman" w:hAnsi="Arial" w:cs="Arial"/>
          <w:sz w:val="25"/>
          <w:szCs w:val="25"/>
        </w:rPr>
        <w:t>u</w:t>
      </w:r>
      <w:r w:rsidR="00D74186">
        <w:rPr>
          <w:rFonts w:ascii="Arial" w:eastAsia="Times New Roman" w:hAnsi="Arial" w:cs="Arial"/>
          <w:sz w:val="25"/>
          <w:szCs w:val="25"/>
        </w:rPr>
        <w:t xml:space="preserve"> </w:t>
      </w:r>
      <w:r w:rsidR="00F42DFD" w:rsidRPr="00D74186">
        <w:rPr>
          <w:rFonts w:ascii="Arial" w:eastAsia="Times New Roman" w:hAnsi="Arial" w:cs="Arial"/>
          <w:sz w:val="25"/>
          <w:szCs w:val="25"/>
        </w:rPr>
        <w:t>U</w:t>
      </w:r>
      <w:r w:rsidR="00854321">
        <w:rPr>
          <w:rFonts w:ascii="Arial" w:eastAsia="Times New Roman" w:hAnsi="Arial" w:cs="Arial"/>
          <w:sz w:val="25"/>
          <w:szCs w:val="25"/>
        </w:rPr>
        <w:t xml:space="preserve">bezpieczeń </w:t>
      </w:r>
      <w:r w:rsidR="00F42DFD" w:rsidRPr="00D74186">
        <w:rPr>
          <w:rFonts w:ascii="Arial" w:eastAsia="Times New Roman" w:hAnsi="Arial" w:cs="Arial"/>
          <w:sz w:val="25"/>
          <w:szCs w:val="25"/>
        </w:rPr>
        <w:t>S</w:t>
      </w:r>
      <w:r w:rsidR="00854321">
        <w:rPr>
          <w:rFonts w:ascii="Arial" w:eastAsia="Times New Roman" w:hAnsi="Arial" w:cs="Arial"/>
          <w:sz w:val="25"/>
          <w:szCs w:val="25"/>
        </w:rPr>
        <w:t>połecznych</w:t>
      </w:r>
      <w:r w:rsidR="00F42DFD" w:rsidRPr="00D74186">
        <w:rPr>
          <w:rFonts w:ascii="Arial" w:eastAsia="Times New Roman" w:hAnsi="Arial" w:cs="Arial"/>
          <w:sz w:val="25"/>
          <w:szCs w:val="25"/>
        </w:rPr>
        <w:t xml:space="preserve"> i U</w:t>
      </w:r>
      <w:r w:rsidR="00854321">
        <w:rPr>
          <w:rFonts w:ascii="Arial" w:eastAsia="Times New Roman" w:hAnsi="Arial" w:cs="Arial"/>
          <w:sz w:val="25"/>
          <w:szCs w:val="25"/>
        </w:rPr>
        <w:t xml:space="preserve">rzędu </w:t>
      </w:r>
      <w:r w:rsidR="00F42DFD" w:rsidRPr="00D74186">
        <w:rPr>
          <w:rFonts w:ascii="Arial" w:eastAsia="Times New Roman" w:hAnsi="Arial" w:cs="Arial"/>
          <w:sz w:val="25"/>
          <w:szCs w:val="25"/>
        </w:rPr>
        <w:t>S</w:t>
      </w:r>
      <w:r w:rsidR="00854321">
        <w:rPr>
          <w:rFonts w:ascii="Arial" w:eastAsia="Times New Roman" w:hAnsi="Arial" w:cs="Arial"/>
          <w:sz w:val="25"/>
          <w:szCs w:val="25"/>
        </w:rPr>
        <w:t>karbowego</w:t>
      </w:r>
      <w:r w:rsidR="00F42DFD" w:rsidRPr="00D74186">
        <w:rPr>
          <w:rFonts w:ascii="Arial" w:eastAsia="Times New Roman" w:hAnsi="Arial" w:cs="Arial"/>
          <w:sz w:val="25"/>
          <w:szCs w:val="25"/>
        </w:rPr>
        <w:t>), umowy, zakresy obowiązków;</w:t>
      </w:r>
    </w:p>
    <w:p w14:paraId="402E19B1" w14:textId="655AAB55" w:rsidR="00782B72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zostały przewidziane w zakresie rzeczowo-finansowym</w:t>
      </w:r>
      <w:r w:rsidR="00270D13"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Wniosku, </w:t>
      </w:r>
    </w:p>
    <w:p w14:paraId="6266F151" w14:textId="439C7C55" w:rsidR="00270D13" w:rsidRPr="00782B72" w:rsidRDefault="00782B72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s</w:t>
      </w:r>
      <w:r w:rsidR="00C4608C" w:rsidRPr="00782B72">
        <w:rPr>
          <w:rFonts w:ascii="Arial" w:eastAsia="Times New Roman" w:hAnsi="Arial" w:cs="Arial"/>
          <w:sz w:val="25"/>
          <w:szCs w:val="25"/>
          <w:lang w:eastAsia="pl-PL"/>
        </w:rPr>
        <w:t>ą zgodne z odrębnymi przepisami prawa powszechnie obowiązującego.</w:t>
      </w:r>
    </w:p>
    <w:bookmarkEnd w:id="8"/>
    <w:p w14:paraId="3C22913C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BB36CF1" w14:textId="3D657AA2" w:rsidR="00270D13" w:rsidRPr="00B5055E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457B16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kategorii </w:t>
      </w:r>
      <w:r w:rsidR="00230276" w:rsidRPr="00B5055E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które mogą być finansowane</w:t>
      </w:r>
      <w:r w:rsidR="00270D13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w ramach Grantu należą</w:t>
      </w:r>
      <w:r w:rsidR="00782B72" w:rsidRPr="00B5055E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4B551994" w14:textId="7F6B71AE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kup usług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tymczasowych miejsc do izolacji poza szpitalem, w których mieszkańcy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skierowani przez lekarza będą przebywać na czas leczenia, zapewnienie im należytej opieki medycznej oraz kompleksowej usługi pobytowej, w tym: nocleg, wyżywienie, sprzątanie itp.</w:t>
      </w:r>
    </w:p>
    <w:p w14:paraId="5917589E" w14:textId="62334B48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9" w:name="_Hlk44413414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Koszty dodatków do wynagrodzeń pracowników zatrudnionych przy sprawowaniu opieki i wsparcia nad mieszkańcami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bookmarkEnd w:id="9"/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584BD5C9" w14:textId="0D929D7D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10" w:name="_Hlk41982260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usług 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umożliwiających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zmian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organizacji pracy </w:t>
      </w:r>
      <w:bookmarkEnd w:id="10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domach pomocy społecznej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(7/7) w tym: nocleg, wyżywienie, zakup niezbędnego wyposażenia miejsc noclegowych dla pracowników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74C998C" w14:textId="444D943F" w:rsidR="00634012" w:rsidRPr="00B5055E" w:rsidRDefault="009672A9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Zakup usług zapewniających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miejsc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pobytu </w:t>
      </w:r>
      <w:proofErr w:type="spellStart"/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>wytchnieniowego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dla pracowników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poza budynkiem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517055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(kompleksowej usługi pobytowej w tym: nocleg, wyżywienie, sprzątanie itp.). </w:t>
      </w:r>
    </w:p>
    <w:p w14:paraId="1A600BA0" w14:textId="77777777" w:rsidR="0092469A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11" w:name="_Hlk41982286"/>
      <w:r w:rsidRPr="00B5055E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Zakup środków ochrony indywidualnej </w:t>
      </w:r>
      <w:bookmarkEnd w:id="11"/>
      <w:r w:rsidRPr="00B5055E">
        <w:rPr>
          <w:rFonts w:ascii="Arial" w:eastAsia="Times New Roman" w:hAnsi="Arial" w:cs="Arial"/>
          <w:sz w:val="25"/>
          <w:szCs w:val="25"/>
          <w:lang w:eastAsia="pl-PL"/>
        </w:rPr>
        <w:t>(m.in. rękawice jednorazowe, maseczki ochronne, przyłbice, kombinezony, fartuchy, płyn do dezynfekcji powierzchni, ochraniacze na obuwie, płyn do dezynfekcji rąk, czepki ochronne, żele antybakteryjne, maseczki z filtrem, gogle ochronne, termometry, itp.)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sprzętu i wyposażenia, m.in. sprzęt do dezynfekcji powierzchni (np. ozonatory) wraz ze środkami eksploatacyjnymi, maty dezynfekcyjne, koncentratory tlenu, ssaki elektryczne przenośne, lampy bakteriobójcze, termometry bezdotykowe, itp.;</w:t>
      </w:r>
    </w:p>
    <w:p w14:paraId="4B9537C8" w14:textId="77777777" w:rsidR="0092469A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>Zakup i przeprowadzenie testów na COVID-19.</w:t>
      </w:r>
      <w:r w:rsidR="006430C5" w:rsidRPr="00B5055E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3758F632" w14:textId="1EC708E3" w:rsidR="006430C5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Każdy Wnioskodawca </w:t>
      </w:r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w imieniu </w:t>
      </w:r>
      <w:proofErr w:type="spellStart"/>
      <w:r w:rsidR="0092469A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złoży do Umowy o udzielenie Grantu oświadczenie o kwalifikowalności podatku VAT. Jeżeli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z oświadczenia będzie wynikać, iż </w:t>
      </w:r>
      <w:proofErr w:type="spellStart"/>
      <w:r w:rsidRPr="0092469A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nie ma prawnej możliwości odliczenia VAT od zakupionego sprzętu i środków, wówczas VAT jest kwalifikowalnym składnikiem wydatku. Jeżeli </w:t>
      </w:r>
      <w:proofErr w:type="spellStart"/>
      <w:r w:rsidRPr="0092469A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ma możliwość VAT odzyskać, to VAT nie jest kwalifikowalny i Grant będzie</w:t>
      </w:r>
      <w:r w:rsidR="006430C5"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rozliczany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w kwotach netto</w:t>
      </w:r>
    </w:p>
    <w:p w14:paraId="63E6949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930A97" w14:textId="1489B9D9" w:rsidR="00270D13" w:rsidRPr="00230276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Koszty 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administracyjne oraz koszty ewaluacji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Grantu</w:t>
      </w:r>
      <w:r w:rsidR="006430C5"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nie są kwalifikowane.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się wydatków w ramach cross-</w:t>
      </w:r>
      <w:proofErr w:type="spellStart"/>
      <w:r w:rsidR="00A007B7">
        <w:rPr>
          <w:rFonts w:ascii="Arial" w:eastAsia="Times New Roman" w:hAnsi="Arial" w:cs="Arial"/>
          <w:sz w:val="25"/>
          <w:szCs w:val="25"/>
          <w:lang w:eastAsia="pl-PL"/>
        </w:rPr>
        <w:t>financingu</w:t>
      </w:r>
      <w:proofErr w:type="spellEnd"/>
      <w:r w:rsidR="00A007B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C4561F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FB6B683" w14:textId="6A6B8060" w:rsidR="00270D13" w:rsidRPr="008A3E30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</w:t>
      </w:r>
      <w:r w:rsidR="004F39BC" w:rsidRPr="00F076DF">
        <w:rPr>
          <w:rFonts w:ascii="Arial" w:eastAsia="Times New Roman" w:hAnsi="Arial" w:cs="Arial"/>
          <w:sz w:val="25"/>
          <w:szCs w:val="25"/>
          <w:lang w:eastAsia="pl-PL"/>
        </w:rPr>
        <w:t xml:space="preserve">dokonać jednorazowego przesunięcia </w:t>
      </w:r>
      <w:r w:rsidR="00CF0C0E">
        <w:rPr>
          <w:rFonts w:ascii="Arial" w:eastAsia="Times New Roman" w:hAnsi="Arial" w:cs="Arial"/>
          <w:sz w:val="25"/>
          <w:szCs w:val="25"/>
          <w:lang w:eastAsia="pl-PL"/>
        </w:rPr>
        <w:t xml:space="preserve">pomiędzy </w:t>
      </w:r>
      <w:r w:rsidR="004F39BC" w:rsidRPr="00F076DF">
        <w:rPr>
          <w:rFonts w:ascii="Arial" w:eastAsia="Times New Roman" w:hAnsi="Arial" w:cs="Arial"/>
          <w:sz w:val="25"/>
          <w:szCs w:val="25"/>
          <w:lang w:eastAsia="pl-PL"/>
        </w:rPr>
        <w:t>dwiema</w:t>
      </w:r>
      <w:r w:rsidR="004F39B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0C0E">
        <w:rPr>
          <w:rFonts w:ascii="Arial" w:eastAsia="Times New Roman" w:hAnsi="Arial" w:cs="Arial"/>
          <w:sz w:val="25"/>
          <w:szCs w:val="25"/>
          <w:lang w:eastAsia="pl-PL"/>
        </w:rPr>
        <w:t>pozycjami kategorii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="00270D13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określonych</w:t>
      </w:r>
      <w:r w:rsidR="00F076D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>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AD35A0">
        <w:rPr>
          <w:rFonts w:ascii="Arial" w:eastAsia="Times New Roman" w:hAnsi="Arial" w:cs="Arial"/>
          <w:sz w:val="25"/>
          <w:szCs w:val="25"/>
          <w:lang w:eastAsia="pl-PL"/>
        </w:rPr>
        <w:t xml:space="preserve"> pkt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2 niniejszego Regulaminu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do 10% wartości środków,</w:t>
      </w:r>
      <w:r w:rsidR="00F076D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pozycji kosztu, z której są przesuwane środki, jak i do pozycji kosztu, na którą</w:t>
      </w:r>
      <w:r w:rsidR="00270D13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są przesuwane środki,</w:t>
      </w:r>
      <w:r w:rsidR="004F39B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z zastrzeżeniem ust.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6</w:t>
      </w:r>
      <w:r w:rsidR="008A3E3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8A3E30" w:rsidRPr="00F076DF">
        <w:rPr>
          <w:rFonts w:ascii="Arial" w:eastAsia="Times New Roman" w:hAnsi="Arial" w:cs="Arial"/>
          <w:sz w:val="25"/>
          <w:szCs w:val="25"/>
          <w:lang w:eastAsia="pl-PL"/>
        </w:rPr>
        <w:t>oraz ust.8.</w:t>
      </w:r>
    </w:p>
    <w:p w14:paraId="25522784" w14:textId="77777777" w:rsidR="00A022E6" w:rsidRDefault="00A022E6" w:rsidP="008A3E30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</w:p>
    <w:p w14:paraId="18F6688E" w14:textId="13CC7285" w:rsidR="008A3E30" w:rsidRPr="00F076DF" w:rsidRDefault="008A3E30" w:rsidP="008A3E30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Przykład:</w:t>
      </w:r>
    </w:p>
    <w:p w14:paraId="441A70C5" w14:textId="17669E7F" w:rsidR="00270D13" w:rsidRPr="00F076DF" w:rsidRDefault="008A3E30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Wartość kategorii kosztów „Zakup usług umożliwiających zmianę organizacji pracy”</w:t>
      </w:r>
      <w:r w:rsidR="00F076DF">
        <w:rPr>
          <w:rFonts w:ascii="Arial" w:eastAsia="Times New Roman" w:hAnsi="Arial" w:cs="Arial"/>
          <w:color w:val="2F5496" w:themeColor="accent1" w:themeShade="BF"/>
          <w:lang w:eastAsia="pl-PL"/>
        </w:rPr>
        <w:br/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 danym DPS wynosi 100 000 zł, a wartość kategorii kosztów „Zakup środków ochrony indywidualnej” wynosi 150 000 zł. Przenosząc 10% środków z kategorii „Zakup usług umożliwiających zmianę organizacji pracy”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do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kategori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i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„Zakup środków ochrony indywidualnej”</w:t>
      </w:r>
      <w:r w:rsidR="0096363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to: wartość kategorii kosztów „Zakup usług umożliwiających </w:t>
      </w:r>
      <w:r w:rsidR="0096363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lastRenderedPageBreak/>
        <w:t>zmianę organizacji pracy” zostaje pomniejszona o 10 000 zł i wyniesie 90 000 zł, natomiast wartość kategorii „Zakup środków ochrony indywidualnej” zostaje powiększona o 10 000 zł i wyniesie 160 000 zł.</w:t>
      </w:r>
    </w:p>
    <w:p w14:paraId="155C9B02" w14:textId="1CB353A0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B050"/>
          <w:lang w:eastAsia="pl-PL"/>
        </w:rPr>
      </w:pPr>
    </w:p>
    <w:p w14:paraId="566FE3C6" w14:textId="66B4DFE4" w:rsidR="00963635" w:rsidRPr="00F076DF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Przykład nr 2:</w:t>
      </w:r>
    </w:p>
    <w:p w14:paraId="6A4E540F" w14:textId="7C8B485B" w:rsidR="008F3B5D" w:rsidRPr="00F076DF" w:rsidRDefault="00963635" w:rsidP="008F3B5D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Wartość kategorii kosztów </w:t>
      </w:r>
      <w:bookmarkStart w:id="12" w:name="_Hlk44414518"/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„Zakup środków ochrony indywidualnej” </w:t>
      </w:r>
      <w:bookmarkEnd w:id="12"/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 danym DPS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wynosi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200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zł, a wartość kategorii „Zakup usług umożliwiających zmianę organizacji pracy” wynosi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30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 000 zł. Przenosząc </w:t>
      </w:r>
      <w:r w:rsidR="004028A4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do 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10% środków z kategorii „Zakup środków ochrony indywidualnej”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do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kategori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i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„Zakup usług umożliwiających zmianę organizacji pracy”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” to: wartość kategorii kosztów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„Zakup środków ochrony indywidualnej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” zostaje pomniejszona o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</w:t>
      </w:r>
      <w:r w:rsidR="004028A4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(jest to maksymalna kwota środków przenoszonych w ramach tych dwóch kategorii, ponieważ przenoszona kwota nie może przekroczyć 10% wartości, w odniesieniu do pozycji kosztu, z której są przesuwane środki, jak i do pozycji kosztu, na którą są przesuwane środki)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 xml:space="preserve"> i wyniesie 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187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zł, natomiast wartość kategorii „Zakup środków ochrony indywidualnej” zostaje powiększona o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 i wyniesie 1</w:t>
      </w:r>
      <w:r w:rsidR="000D4B15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43</w:t>
      </w:r>
      <w:r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 000 zł</w:t>
      </w:r>
      <w:r w:rsidR="008F3B5D" w:rsidRPr="00F076DF">
        <w:rPr>
          <w:rFonts w:ascii="Arial" w:eastAsia="Times New Roman" w:hAnsi="Arial" w:cs="Arial"/>
          <w:color w:val="2F5496" w:themeColor="accent1" w:themeShade="BF"/>
          <w:lang w:eastAsia="pl-PL"/>
        </w:rPr>
        <w:t>.</w:t>
      </w:r>
    </w:p>
    <w:p w14:paraId="269BE7EF" w14:textId="77777777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6A379F" w14:textId="4C7C9AB9" w:rsidR="00270D13" w:rsidRPr="00CB6C61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Przesunięcie pomiędzy pozycjami kategorii kosztów (np. przesunięcie środków z kategorii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usług umożliwiających zmianę organizacji pracy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 na kategorię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środków ochrony indywidualnej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”)</w:t>
      </w:r>
      <w:r w:rsidR="000158F5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każdorazowo wymaga aneksu do zawartej Umowy o udzielenie Grantu.</w:t>
      </w:r>
    </w:p>
    <w:p w14:paraId="49EC49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0F0B7D7" w14:textId="42862C3A" w:rsidR="00270D13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środków finansowych przekazanych Wnioskodawcy</w:t>
      </w:r>
      <w:r w:rsidR="00CB6C61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ramach Grantu, obowiązuje zakaz podwójnego finansowania tych samych wydatków. Takie działanie skutkować będzie koniecznością zwrotu proporcjonalnej części otrzymanego Grantu. </w:t>
      </w:r>
    </w:p>
    <w:p w14:paraId="3F932A00" w14:textId="77777777" w:rsidR="008A3E30" w:rsidRPr="008A3E30" w:rsidRDefault="008A3E30" w:rsidP="008A3E30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6788D9" w14:textId="5637C683" w:rsidR="00F076DF" w:rsidRPr="00571885" w:rsidRDefault="00571885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>Wartość dodatkowego wynagrodzenia dla pracowników zatrudnionych na umowę o pracę nie może przekroczyć kwoty 1.820,00 zł brutto miesięcznie na jeden etat wraz z kosztami ponoszonymi przez pracodawcę oraz zgodnie z właściwymi przepisami prawa krajowego, przy wymogu zachowania średniej kwoty dodatku do wynagrodzeń w Domu Pomocy Społecznej na poziomie 1.450,00 zł na jeden etat miesięcznie”.</w:t>
      </w:r>
    </w:p>
    <w:p w14:paraId="63D093DA" w14:textId="77777777" w:rsidR="00571885" w:rsidRPr="00571885" w:rsidRDefault="00571885" w:rsidP="00571885">
      <w:pPr>
        <w:pStyle w:val="Akapitzlist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4C77B43" w14:textId="77777777" w:rsidR="00571885" w:rsidRPr="00571885" w:rsidRDefault="00571885" w:rsidP="00571885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CDA2F55" w14:textId="43D887B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1EE7555D" w14:textId="2D1B851F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PODSTAWOWE OBOWIĄZKI WNIOSKODAWCY</w:t>
      </w:r>
    </w:p>
    <w:p w14:paraId="61E85E0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F6B519" w14:textId="57AEACD8" w:rsidR="00270D13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ma w szczególności obowiązek:</w:t>
      </w:r>
    </w:p>
    <w:p w14:paraId="6C5BB84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6E6E110" w14:textId="52AF0418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zapoznania się z Regulaminem przed złożeniem Wniosku. Złożenie Wniosku oznacza deklarację udziału w Projekcie, zaakceptowanie warunków Regulaminu i zobowiązanie się do ich stosowania;</w:t>
      </w:r>
    </w:p>
    <w:p w14:paraId="7FBB57D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6DA5465" w14:textId="791B995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podawania prawdziwych informacji w dokumentach przedstawianych </w:t>
      </w:r>
      <w:proofErr w:type="spellStart"/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pod rygorem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odpowiedzialności karnej za składanie oświadczeń niezgodnych z prawdą;</w:t>
      </w:r>
    </w:p>
    <w:p w14:paraId="2851DC8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631F75" w14:textId="12BFC8C9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poddania się czynnościom monitoringowym i kontrolnym zgodnie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z postanowieniami Umowy o udzielenie Grantu;</w:t>
      </w:r>
    </w:p>
    <w:p w14:paraId="0E91BEB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A978A79" w14:textId="53408412" w:rsidR="00C4608C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przedkładania do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niezbędnych do rozliczenia Grantu;</w:t>
      </w:r>
    </w:p>
    <w:p w14:paraId="0EFCD2B8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2DE1A1" w14:textId="163B987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udostępniania lub przekazywania na wniosek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i informacji dotyczących realizacji Grantu, w tym oryginałów dokumentów związanych z uzyskaniem i wykorzystaniem Grantu;</w:t>
      </w:r>
    </w:p>
    <w:p w14:paraId="4BBBBAB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2EB9CE" w14:textId="5788D166" w:rsidR="00A022E6" w:rsidRPr="00970709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wykorzystania Grantu zgodnie z Umową o udzielenie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Grantu i Regulaminem.</w:t>
      </w:r>
    </w:p>
    <w:p w14:paraId="1665E2F6" w14:textId="77777777" w:rsidR="00A022E6" w:rsidRDefault="00A022E6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DF173E" w14:textId="338097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IX</w:t>
      </w:r>
    </w:p>
    <w:p w14:paraId="6F5ED3C5" w14:textId="348B8056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WYPŁACANIE I FINANSOWANIE</w:t>
      </w:r>
      <w:r w:rsidR="00270D13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GRANTÓW</w:t>
      </w:r>
    </w:p>
    <w:p w14:paraId="279E49D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CC7E508" w14:textId="3E6F5BAF" w:rsidR="00270D13" w:rsidRPr="00C81FC9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 wypłacany jest w formie zaliczki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na konto wskazane przez Wnioskodawcę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Umowie o udzielenie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Grantu, pod warunkiem dostępności środków na rachunku bankowym prowadzonym przez </w:t>
      </w:r>
      <w:proofErr w:type="spellStart"/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C81FC9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BFE865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D8A493" w14:textId="4F15636C" w:rsidR="00270D13" w:rsidRPr="00CB477A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lastRenderedPageBreak/>
        <w:t>Termin wypłaty Grantu określają warunki Umowy o udzielenie Grantu.</w:t>
      </w:r>
    </w:p>
    <w:p w14:paraId="6D25F13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CEE1A6" w14:textId="36D62254" w:rsidR="00270D13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Wnioskodawcy</w:t>
      </w:r>
      <w:r w:rsidR="00CB477A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będą zobowiązani do sprawozdawczości finansowej. Rozliczenie środków następuje zgodnie z zapisami umowy o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udzielenie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Grantu, stanowiącej załącznik nr 3 do niniejszego regulaminu.</w:t>
      </w:r>
    </w:p>
    <w:p w14:paraId="3A27D9C7" w14:textId="77777777" w:rsidR="00970709" w:rsidRPr="00970709" w:rsidRDefault="00970709" w:rsidP="00970709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FEFB60C" w14:textId="260CC8FC" w:rsidR="00970709" w:rsidRDefault="00970709" w:rsidP="00970709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736A0" w14:textId="77777777" w:rsidR="00970709" w:rsidRPr="00970709" w:rsidRDefault="00970709" w:rsidP="00970709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B0600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FC31F45" w14:textId="67481D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</w:p>
    <w:p w14:paraId="5E845D96" w14:textId="6B935422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ZABEZPIECZENIE GRANTÓW</w:t>
      </w:r>
    </w:p>
    <w:p w14:paraId="097E1AB7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9657FD" w14:textId="1DC0E896" w:rsidR="00270D13" w:rsidRPr="00CB477A" w:rsidRDefault="00C4608C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Warunkiem wypłaty Grantu jest wniesienie przez Wnioskodawcę</w:t>
      </w:r>
      <w:r w:rsidR="00270D13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zabezpieczenia, o ile </w:t>
      </w:r>
      <w:proofErr w:type="spellStart"/>
      <w:r w:rsidRPr="00CB477A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nie zwolnił Wnioskodawcy z tego obowiązku.</w:t>
      </w:r>
    </w:p>
    <w:p w14:paraId="20BD1BC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B2D0501" w14:textId="027160A2" w:rsidR="00CB6C61" w:rsidRPr="00B5055E" w:rsidRDefault="00CB6C61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W sytuacji, gdy </w:t>
      </w:r>
      <w:r w:rsidR="00482485" w:rsidRPr="00B5055E">
        <w:rPr>
          <w:rFonts w:ascii="Arial" w:eastAsia="Times New Roman" w:hAnsi="Arial" w:cs="Arial"/>
          <w:sz w:val="25"/>
          <w:szCs w:val="25"/>
          <w:lang w:eastAsia="pl-PL"/>
        </w:rPr>
        <w:t>jednostki samorządu terytorialnego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występują jako beneficjenci projektów unijnych, podmioty te, jako jednostki sektora finansów publicznych, są zwolnione z obowiązku zabezpieczenia środków, które są im przekazywane (art. 206 ustawy o finansach publicznych). Analogicznie do rozwiązań stosowanych w stosunku do beneficjentów, podmioty te – występując jako Wnioskodawcy – nie będą zobowiązane do składania zabezpieczenia środków uzyskanych w formie </w:t>
      </w:r>
      <w:r w:rsidR="00482485" w:rsidRPr="00B5055E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rantu. </w:t>
      </w:r>
    </w:p>
    <w:p w14:paraId="3AD6A06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1418A8F" w14:textId="38FF113B" w:rsid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podmiotów niebędących </w:t>
      </w:r>
      <w:r>
        <w:rPr>
          <w:rFonts w:ascii="Arial" w:eastAsia="Times New Roman" w:hAnsi="Arial" w:cs="Arial"/>
          <w:sz w:val="25"/>
          <w:szCs w:val="25"/>
          <w:lang w:eastAsia="pl-PL"/>
        </w:rPr>
        <w:t>jednostkami samorządu terytorialnego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tj. organizacji pozarządowych, kościelnych osób prawnych, innych osób prawnych, zabezpieczeniem prawidłowej realizacji umowy powierzenia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rantu będzie złożenie weksla in blanco (wzór weksla in blanco wraz z deklaracją wekslową stanowią załącznik nr 5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Umowy o udzielenie Grantu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61F96673" w14:textId="77777777" w:rsidR="00482485" w:rsidRPr="00482485" w:rsidRDefault="00482485" w:rsidP="00482485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E67BDB" w14:textId="35C6CB51" w:rsidR="00482485" w:rsidRPr="00482485" w:rsidRDefault="00482485" w:rsidP="00525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Wnioskodawca wnosi zabezpieczenie prawidłowej realizacji Umowy,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nie później niż w terminie 7 dni od dnia zawarcia Umowy w formie weksla in blanco z poręczeniem wekslowym (100 % kwoty grantu) wraz z deklaracją wekslową. </w:t>
      </w:r>
    </w:p>
    <w:p w14:paraId="106526A0" w14:textId="64EEA1D5" w:rsidR="002A190E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Zabezpieczenie, o którym mowa powyżej, ustanawiane jest do dnia rozliczenia końcowego grantu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44014B8" w14:textId="77777777" w:rsidR="00482485" w:rsidRP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482485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zwróci Wnioskodawcy zabezpieczenie należytej realizacji Umowy w ciągu 14 dni roboczych: </w:t>
      </w:r>
    </w:p>
    <w:p w14:paraId="69679FF9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od dnia zakończenia okresu, na który zostało ono ustanowione; </w:t>
      </w:r>
    </w:p>
    <w:p w14:paraId="4770F816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zgodnie z postanowieniami § 10 Umowy, licząc od dnia wpływu na konto </w:t>
      </w:r>
      <w:proofErr w:type="spellStart"/>
      <w:r w:rsidRPr="00482485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zwrotu środków otrzymanych przez Wnioskodawcę. </w:t>
      </w:r>
    </w:p>
    <w:p w14:paraId="711D5CE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A365DC" w14:textId="54A7F893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9B4D240" w14:textId="5DC0A752" w:rsidR="00EE211D" w:rsidRDefault="00C4608C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UMOWA O UDZIELENIE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GRANTU</w:t>
      </w:r>
    </w:p>
    <w:p w14:paraId="42DFD838" w14:textId="77777777" w:rsidR="00A022E6" w:rsidRPr="00A022E6" w:rsidRDefault="00A022E6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A9E6AE3" w14:textId="5CB164D3" w:rsidR="00EE211D" w:rsidRDefault="00C4608C" w:rsidP="00525C9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Po zaakceptowaniu Wniosku przez</w:t>
      </w:r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 w:rsidRPr="001403E8">
        <w:rPr>
          <w:rFonts w:ascii="Arial" w:eastAsia="Times New Roman" w:hAnsi="Arial" w:cs="Arial"/>
          <w:sz w:val="25"/>
          <w:szCs w:val="25"/>
          <w:lang w:eastAsia="pl-PL"/>
        </w:rPr>
        <w:t>zostanie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 zawarta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z Wnioskodawcą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umowa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udzielenie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Grantu.</w:t>
      </w:r>
    </w:p>
    <w:p w14:paraId="1D69C383" w14:textId="7D7E3F52" w:rsidR="00EE211D" w:rsidRDefault="00EE211D" w:rsidP="00525C9A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W przypadku, gdy umowę podpisuje reprezentant Wnioskodawcy, najpóźniej w chwili podpisania umowy – przedkłada stosowne pełnomocnictwo.</w:t>
      </w:r>
    </w:p>
    <w:p w14:paraId="6F50189C" w14:textId="77777777" w:rsid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BCC086" w14:textId="22E9BED3" w:rsidR="002A190E" w:rsidRDefault="00C4608C" w:rsidP="00525C9A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Umowa o udzielenie Grantu określa w szczególności:</w:t>
      </w:r>
    </w:p>
    <w:p w14:paraId="7C4A6D54" w14:textId="77777777" w:rsidR="00EE211D" w:rsidRP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9678B1" w14:textId="0C21BA73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zadania Wnioskodawcy 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objęte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rantem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7CA0F1FE" w14:textId="7442B7F4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możliwą (maksymalną) wysokość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4570995B" w14:textId="43E828C9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warunki przekazania i rozliczenia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0BB80A1C" w14:textId="6A5ABEBA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do zwrotu grantu w przypadku wykorzystania go niezgodnie z celami projektu grantowego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E6883AE" w14:textId="4B6EF0EE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zobowiązanie Wnioskodawcy 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do poddania się kontroli oraz czynnościom monitoringowym przeprowadzanym przez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lub uprawnione podmioty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6F46C307" w14:textId="643CA190" w:rsidR="001403E8" w:rsidRPr="00A022E6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zobowiązanie Wnioskodawcy 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do informowania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o realizowanym przez Wnioskodawcę przedsięwzięciu i stosowania właściwych oznaczeń, zgodnie z wytycznymi </w:t>
      </w:r>
      <w:proofErr w:type="spellStart"/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B4BD9B" w14:textId="77777777" w:rsidR="001403E8" w:rsidRDefault="001403E8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027165C5" w14:textId="08B4D75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32254D9" w14:textId="3C015355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ODZYSKIWANIE GRANTÓW W PRZYPADKU ICH WYKORZYSTANIA NIEZGODNIE Z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CELAMI</w:t>
      </w:r>
    </w:p>
    <w:p w14:paraId="796CC6BE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0B09E3" w14:textId="2ACA4B8A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całości wypłaconych środków, jeżeli:</w:t>
      </w:r>
    </w:p>
    <w:p w14:paraId="6464AD87" w14:textId="0B3E582F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Sprawozdanie końcowe nie zostało zaakceptowane przez Realizatora 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rojektu,</w:t>
      </w:r>
    </w:p>
    <w:p w14:paraId="278900FE" w14:textId="6175F302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złożył niezgodne z prawdą oświadczeni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na etapie ubiegania się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Grant,</w:t>
      </w:r>
    </w:p>
    <w:p w14:paraId="3F71FEF5" w14:textId="5A410631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 został wykorzystany niezgodnie z celami udzielania Grantów,</w:t>
      </w:r>
    </w:p>
    <w:p w14:paraId="0B976257" w14:textId="36C7D8CE" w:rsidR="00C77DD0" w:rsidRDefault="00C77DD0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4)  Miało miejsce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podwójne finansowani</w:t>
      </w:r>
      <w:r>
        <w:rPr>
          <w:rFonts w:ascii="Arial" w:eastAsia="Times New Roman" w:hAnsi="Arial" w:cs="Arial"/>
          <w:sz w:val="25"/>
          <w:szCs w:val="25"/>
          <w:lang w:eastAsia="pl-PL"/>
        </w:rPr>
        <w:t>e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całości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14:paraId="129C8E81" w14:textId="06C132A9" w:rsidR="00C77DD0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4)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Gdy Umowa o udzielenie Grantu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zostanie rozwiązana przez </w:t>
      </w:r>
      <w:proofErr w:type="spellStart"/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ze skutkiem natychmiastowym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 zgodnie z zapisami Ro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działu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XI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V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57022E8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2707A13" w14:textId="067FF7C5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części wypłaconych środków,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 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 przypadku:</w:t>
      </w:r>
    </w:p>
    <w:p w14:paraId="78F1A69F" w14:textId="6E5ED02E" w:rsidR="002A190E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13" w:name="_Hlk41984591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podwójnego finansowania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 xml:space="preserve">części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bookmarkEnd w:id="13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14FDCEC" w14:textId="0547721E" w:rsidR="00A022E6" w:rsidRDefault="009F01E7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gdy </w:t>
      </w:r>
      <w:bookmarkStart w:id="14" w:name="_Hlk41985122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MRPiPS</w:t>
      </w:r>
      <w:proofErr w:type="spellEnd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bookmarkEnd w:id="14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nałoży na </w:t>
      </w:r>
      <w:proofErr w:type="spellStart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korektę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finansową z tytułu niewłaściwego wykorzystania grantu przez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Wnioskodawcę (zwrot części wypłaconych środków odpowiadającej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nałożonej korekcie finansowej).</w:t>
      </w:r>
    </w:p>
    <w:p w14:paraId="606D0410" w14:textId="77777777" w:rsidR="00A022E6" w:rsidRDefault="00A022E6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E0AB1DB" w14:textId="274F639E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4116DF8" w14:textId="3B55E12C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MONITOROWANIE I KONTROLA GRANTÓW</w:t>
      </w:r>
    </w:p>
    <w:p w14:paraId="43F39F32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5592E6" w14:textId="18F151CE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Monitoring realizacji Grantu odbywać się będzie poprzez weryfikację sprawozdania końcowego. </w:t>
      </w:r>
    </w:p>
    <w:p w14:paraId="0B167DA3" w14:textId="384AE955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B5055E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może przeprowadzić kontrolę u Wnioskodawcy i/lub </w:t>
      </w:r>
      <w:proofErr w:type="spellStart"/>
      <w:r w:rsidRPr="00B5055E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35A84">
        <w:rPr>
          <w:rFonts w:ascii="Arial" w:eastAsia="Times New Roman" w:hAnsi="Arial" w:cs="Arial"/>
          <w:sz w:val="25"/>
          <w:szCs w:val="25"/>
          <w:lang w:eastAsia="pl-PL"/>
        </w:rPr>
        <w:t xml:space="preserve">w zakresie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prawidłowości realizacji Grantu lub przedstawionego rozliczenia w postaci zestawienia wydatków w ramach sprawozdania końcowego.</w:t>
      </w:r>
    </w:p>
    <w:p w14:paraId="12E1745D" w14:textId="77777777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Ponieważ dokumenty księgowe nie będą wymagane do przedstawienia wraz z rozliczeniem grantu w ramach sprawozdania końcowego, powinny one być dostępne u Wnioskodawcy i/lub </w:t>
      </w:r>
      <w:proofErr w:type="spellStart"/>
      <w:r w:rsidRPr="00B5055E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proofErr w:type="spellEnd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w okresie, w którym projekt grantowy będzie mógł podlegać kontroli. </w:t>
      </w:r>
    </w:p>
    <w:p w14:paraId="5599F6C7" w14:textId="7A00FC71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Informacja o okresie, w którym Wnioskodawca i 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Grantobiorca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zobowiązany jest do przechowywania dokumentów związanych z realizacją projektu, wskazana jest w umowie o udzielenie grantu.</w:t>
      </w:r>
    </w:p>
    <w:p w14:paraId="0DB6CBC8" w14:textId="77777777" w:rsidR="009F01E7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99E864" w14:textId="74F31530" w:rsidR="009F01E7" w:rsidRP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IV</w:t>
      </w:r>
    </w:p>
    <w:p w14:paraId="107B6E2B" w14:textId="38B47626" w:rsid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ROZWIĄZANIE UMOWY</w:t>
      </w:r>
    </w:p>
    <w:p w14:paraId="6E234B6F" w14:textId="77777777" w:rsidR="00C77DD0" w:rsidRDefault="00C77DD0" w:rsidP="009F01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A3E1FBD" w14:textId="0E794CE5" w:rsidR="009F01E7" w:rsidRP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9F01E7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 może rozwiązać Umowę ze skutkiem natychmiastowym,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w formie pisemnego wypowiedzenia, w przypadku gdy: </w:t>
      </w:r>
    </w:p>
    <w:p w14:paraId="33BD80C8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wykorzysta przekazane środki na cel inny niż określony w Regulaminie lub niezgodnie z zapisami Umowy.</w:t>
      </w:r>
    </w:p>
    <w:p w14:paraId="1C1FE15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złoży lub posłuży się fałszywym oświadczeniem lub podrobionymi, przerobionymi lub stwierdzającymi nieprawdę dokumentami księgowymi w celu uzyskania grantu lub jego rozliczenia w ramach Umowy.</w:t>
      </w:r>
    </w:p>
    <w:p w14:paraId="48FC6824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Wnioskodawca odmówi poddania się kontroli, o której mowa w § 7 Umowy lub nie doprowadzi w terminie określonym przez 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Grantodawcę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do usunięcia stwierdzonych nieprawidłowości.</w:t>
      </w:r>
    </w:p>
    <w:p w14:paraId="247F71BC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nie przedłoży sprawozdania końcowego w terminach określonych w zapisach § 8 Umowy.</w:t>
      </w:r>
    </w:p>
    <w:p w14:paraId="415DF8F5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przekaże część lub całość grantu osobie trzeciej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77DD0">
        <w:rPr>
          <w:rFonts w:ascii="Arial" w:eastAsia="Times New Roman" w:hAnsi="Arial" w:cs="Arial"/>
          <w:sz w:val="25"/>
          <w:szCs w:val="25"/>
          <w:lang w:eastAsia="pl-PL"/>
        </w:rPr>
        <w:t>w sposób niezgodny z umową.</w:t>
      </w:r>
    </w:p>
    <w:p w14:paraId="1ECC473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Został złożony wobec Wnioskodawcy wniosek o ogłoszenie upadłości lub gdy Wnioskodawca pozostaje w stanie likwidacji, lub podlega zarządowi komisarycznemu, lub zawiesił swoją działalność, lub jest przedmiotem postępowań o podobnym charakterze.</w:t>
      </w:r>
    </w:p>
    <w:p w14:paraId="478DD185" w14:textId="4E51375A" w:rsidR="009F01E7" w:rsidRPr="00C77DD0" w:rsidRDefault="00C77DD0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MRPiPS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rozwiąże umowę o finansowanie projektu grantowego z Województw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em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Świętokrzyskim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(</w:t>
      </w:r>
      <w:proofErr w:type="spellStart"/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Grantodawc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ą</w:t>
      </w:r>
      <w:proofErr w:type="spellEnd"/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), przy czym rozwiązanie niniejszej Umowy może nastąpić wyłącznie wówczas, gdy nie doszło do ostatecznego rozliczenia środków grantu przez Wnioskodawcę. </w:t>
      </w:r>
    </w:p>
    <w:p w14:paraId="2A446C8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Umowa może zostać rozwiązana w drodze pisemnego porozumienia stron, na wniosek każdej ze stron, w przypadku wystąpienia okoliczności, które uniemożliwiają dalsze wykonywanie postanowień zawartych w Umowie. </w:t>
      </w:r>
    </w:p>
    <w:p w14:paraId="0000797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na podstawie ust. 1, Wnioskodawca jest zobowiązany do zwrotu całości otrzymanych środków grantu. </w:t>
      </w:r>
    </w:p>
    <w:p w14:paraId="7D36DDE2" w14:textId="45F02BF5" w:rsid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>W przypadku rozwiązania Umowy na podstawie ust. 2, Wnioskodawca  jest zobowiązany do zwrotu nierozliczonych środków grantu.</w:t>
      </w:r>
    </w:p>
    <w:p w14:paraId="29D32E45" w14:textId="291FBADC" w:rsidR="000F69EF" w:rsidRDefault="000F69EF" w:rsidP="000F69EF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5AD554C" w14:textId="2C80B5DE" w:rsidR="000F69EF" w:rsidRP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15" w:name="_Toc40379083"/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</w:p>
    <w:p w14:paraId="40A06916" w14:textId="5141BA3F" w:rsid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ODSTĄPIENIE OD REALIZACJI UMOWY</w:t>
      </w:r>
      <w:bookmarkEnd w:id="15"/>
    </w:p>
    <w:p w14:paraId="6192D3F5" w14:textId="77777777" w:rsidR="00A022E6" w:rsidRPr="000F69EF" w:rsidRDefault="00A022E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4EC456F" w14:textId="75C4917B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uprawdopodobnienia wystąpienia okoliczności uniemożliwiających wykonanie umowy, Wnioskodawca może odstąpić od umowy, składając stosowne oświadczenie na piśmie, nie później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z zastrzeżeniem ust. 2.</w:t>
      </w:r>
    </w:p>
    <w:p w14:paraId="5730A85C" w14:textId="655664F3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odstąpić od umowy, nie później jednak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rantu, jeżeli </w:t>
      </w:r>
      <w:proofErr w:type="spellStart"/>
      <w:r w:rsidRPr="000F69EF">
        <w:rPr>
          <w:rFonts w:ascii="Arial" w:eastAsia="Times New Roman" w:hAnsi="Arial" w:cs="Arial"/>
          <w:sz w:val="25"/>
          <w:szCs w:val="25"/>
          <w:lang w:eastAsia="pl-PL"/>
        </w:rPr>
        <w:t>Grantodawca</w:t>
      </w:r>
      <w:proofErr w:type="spellEnd"/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 nie przekaże grantu w terminie określonym w umowie.</w:t>
      </w:r>
    </w:p>
    <w:p w14:paraId="298F2B35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705794" w14:textId="60CDE0F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6CB1FCE3" w14:textId="7DDCCE6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OGŁOSZENIE NABORU, ZŁOŻENIE WNIOSKU I OGŁOSZENIE WYNIKÓW</w:t>
      </w:r>
    </w:p>
    <w:p w14:paraId="347071FA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2303083" w14:textId="48DA4E9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Nabór wniosków jest naborem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zamkniętym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O terminach rozpoczęcia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i zakończenia naboru wnioskodawcy zostaną poinformowani w odrębnych pismach.</w:t>
      </w:r>
    </w:p>
    <w:p w14:paraId="5A47905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8854A7" w14:textId="7A04BF94" w:rsidR="002A190E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Ogłoszenie o naborze wniosków jest publikowane na stronie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Grantodawcy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oraz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Realizatora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rojektu: </w:t>
      </w:r>
      <w:hyperlink r:id="rId10" w:history="1">
        <w:r w:rsidR="00137C4F" w:rsidRPr="00054523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www.swietokrzyskie.pro</w:t>
        </w:r>
      </w:hyperlink>
    </w:p>
    <w:p w14:paraId="735FEBA0" w14:textId="77777777" w:rsidR="00137C4F" w:rsidRPr="00137C4F" w:rsidRDefault="00137C4F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CD241A" w14:textId="10E9F424" w:rsidR="00137C4F" w:rsidRDefault="00137C4F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Wnioskodawca chce wnioskować o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rant dla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więcej niż jednego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137C4F">
        <w:rPr>
          <w:rFonts w:ascii="Arial" w:eastAsia="Times New Roman" w:hAnsi="Arial" w:cs="Arial"/>
          <w:sz w:val="25"/>
          <w:szCs w:val="25"/>
          <w:lang w:eastAsia="pl-PL"/>
        </w:rPr>
        <w:t>Grantobiorc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y</w:t>
      </w:r>
      <w:proofErr w:type="spellEnd"/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, zobowiązany jest złożyć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jeden (wspólny)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wniosek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o przyznanie grantu dla wszystkich </w:t>
      </w:r>
      <w:proofErr w:type="spellStart"/>
      <w:r w:rsidRPr="00137C4F">
        <w:rPr>
          <w:rFonts w:ascii="Arial" w:eastAsia="Times New Roman" w:hAnsi="Arial" w:cs="Arial"/>
          <w:sz w:val="25"/>
          <w:szCs w:val="25"/>
          <w:lang w:eastAsia="pl-PL"/>
        </w:rPr>
        <w:t>Grantobiorców</w:t>
      </w:r>
      <w:proofErr w:type="spellEnd"/>
      <w:r w:rsidRPr="00137C4F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7A47CC83" w14:textId="77777777" w:rsidR="00CF46CB" w:rsidRPr="00137C4F" w:rsidRDefault="00CF46CB" w:rsidP="00D74FE7">
      <w:pPr>
        <w:pStyle w:val="Akapitzlist"/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1FAA4D" w14:textId="16A86D3C" w:rsidR="00F562D5" w:rsidRPr="00CF46CB" w:rsidRDefault="00F562D5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Ubiegając się 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rant, Wnioskodawca zobowiązany jest w treści Wniosku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o udzielenie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rantu (wzór stanowi załącznik nr 1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 xml:space="preserve"> do niniejszego Regulaminu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 zawrzeć co najmniej niżej wskazane informacje:</w:t>
      </w:r>
    </w:p>
    <w:p w14:paraId="4AD5001F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działań;</w:t>
      </w:r>
    </w:p>
    <w:p w14:paraId="68728F48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rezultatu (produktu albo usługi);</w:t>
      </w:r>
    </w:p>
    <w:p w14:paraId="0DEFBE30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wskaźniki zakładanych rezultatów wraz ze sposobem ich pomiaru;</w:t>
      </w:r>
    </w:p>
    <w:p w14:paraId="415FE2AC" w14:textId="09A3315C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harmonogram realizacji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rantu;</w:t>
      </w:r>
    </w:p>
    <w:p w14:paraId="10574681" w14:textId="5ABCA103" w:rsidR="00137C4F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informacje dotyczące sposobu szacowania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 (budżet).</w:t>
      </w:r>
    </w:p>
    <w:p w14:paraId="70AC459F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D714800" w14:textId="7C21383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Po wypełnieniu formularza Wniosku, stanowiącego załącznik nr 1 do niniejszego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egulaminu, należy go wydrukować, opieczętować i podpisać przez osobę upoważnioną do podejmowania decyzji w imieniu Wnioskodawcy. Tak wypełniony Wniosek należy złożyć zeskanowany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na elektroniczną skrzynkę podawczą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ePUAP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 xml:space="preserve">Urzędu Marszałkowskiego Województwa Świętokrzyskiego w Kielcach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lub w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przypadku braku takiej możliwości, w formie papierowej.</w:t>
      </w:r>
    </w:p>
    <w:p w14:paraId="3C67267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797D92" w14:textId="29E69101" w:rsidR="00661F69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Wniosek w formie papierowej należy złożyć w zamkniętej kopercie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z dopiskiem projekt „Bezpieczna Przyszłość”,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zaadresowanej jak niżej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w Kancelarii ogólnej Urzędu Marszałkowskiego Województwa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lub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przesłać na adres: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Urząd Marszałkowski Województwa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Świętokrzyskiego,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Regionalny Ośrodek Polityki Społecznej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25-516 Kielce.</w:t>
      </w:r>
    </w:p>
    <w:p w14:paraId="56D32B98" w14:textId="77777777" w:rsidR="00661F69" w:rsidRPr="00661F69" w:rsidRDefault="00661F6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D5D87A" w14:textId="4CB23645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Wnioski w formie papierowej można składać w godzinach pracy urzędu, tj. w dni robocze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od 7: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30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do 15: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30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B1C298A" w14:textId="79DC510D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D655ADD" w14:textId="20F1A225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0E63696" w14:textId="4AC90DD4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E24693E" w14:textId="75E62039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6F2D76" w14:textId="77777777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B74A941" w14:textId="223B94D5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31CD17FC" w14:textId="358DF88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POSTANOWIENIA KOŃCOWE</w:t>
      </w:r>
    </w:p>
    <w:p w14:paraId="2C13E80B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4D1837" w14:textId="6357EC6C" w:rsidR="00CF46CB" w:rsidRPr="00CF46CB" w:rsidRDefault="00CF46CB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rojektu zastrzega sobie prawo do zmiany zapisów niniejszego Regulaminu oraz jego załączników, jeżeli zmiany zostaną zalecone przez Instytucję Pośredniczącą lub Instytucję Zarządzającą PO WER, bądź wynikną one z nowych uregulowań prawnych, a także w innych przypadkach, w szczególności, jeżeli będzie to niezbędne do prawidłowej realizacji Projektu. Informacja o ewentualnych zmianach będzie zamieszczana na stronie internetowej ROPS UM W</w:t>
      </w:r>
      <w:r>
        <w:rPr>
          <w:rFonts w:ascii="Arial" w:eastAsia="Times New Roman" w:hAnsi="Arial" w:cs="Arial"/>
          <w:sz w:val="25"/>
          <w:szCs w:val="25"/>
          <w:lang w:eastAsia="pl-PL"/>
        </w:rPr>
        <w:t>Ś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Kielcach 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www.swietokrzyskie.pro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7218EE88" w14:textId="247E45A4" w:rsidR="002A190E" w:rsidRPr="00661F69" w:rsidRDefault="00C4608C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Sprawy nieuregulowane w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niniejszym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Regulaminie</w:t>
      </w:r>
      <w:r w:rsidR="002A190E"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rozstrzygane są przez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rojektu.</w:t>
      </w:r>
    </w:p>
    <w:p w14:paraId="7A328A92" w14:textId="77777777" w:rsidR="002A190E" w:rsidRPr="000250FD" w:rsidRDefault="002A190E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49A65637" w14:textId="6803E22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1F55EB75" w14:textId="0D464544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DODATKOWE INFORMACJE NA TEMAT NABORU</w:t>
      </w:r>
    </w:p>
    <w:p w14:paraId="4F6306A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83A518B" w14:textId="5805F161" w:rsidR="00C4608C" w:rsidRPr="00C4608C" w:rsidRDefault="00C4608C" w:rsidP="00FF7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Dodatkowe informacji na temat konkursu można uzyskać u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mailowo lub telefonicznie. </w:t>
      </w:r>
    </w:p>
    <w:p w14:paraId="48EF9080" w14:textId="77777777" w:rsidR="00830366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Osob</w:t>
      </w:r>
      <w:r w:rsidR="00830366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y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 kontaktu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:</w:t>
      </w:r>
    </w:p>
    <w:p w14:paraId="75332ED7" w14:textId="7C535D41" w:rsidR="002A190E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Kocia  - tel. 342-17-18, e-mail </w:t>
      </w:r>
      <w:hyperlink r:id="rId11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michal.kocia@sejmik.kielce.pl</w:t>
        </w:r>
      </w:hyperlink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661EBD3D" w14:textId="6DA6F7F5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Konrad Jantarski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342-13-88, e-mail </w:t>
      </w:r>
      <w:hyperlink r:id="rId12" w:history="1">
        <w:r w:rsidR="0000263C" w:rsidRPr="00FC3375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konrad.jantarski@sejmik.kielce</w:t>
        </w:r>
      </w:hyperlink>
    </w:p>
    <w:p w14:paraId="64069D6B" w14:textId="37367F09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Leszek Beger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342-16-92. e-mail </w:t>
      </w:r>
      <w:hyperlink r:id="rId13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leszek.beger@sejmik.kielce.pl</w:t>
        </w:r>
      </w:hyperlink>
    </w:p>
    <w:p w14:paraId="1AAA7CA9" w14:textId="233685BB" w:rsidR="00830366" w:rsidRDefault="001403E8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Chojnacki - tel. 342-11-53, e-mail </w:t>
      </w:r>
      <w:hyperlink r:id="rId14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michal.chojnacki@sejmik.kielce.pl</w:t>
        </w:r>
      </w:hyperlink>
    </w:p>
    <w:p w14:paraId="2ED94B7B" w14:textId="77777777" w:rsidR="002A190E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Załączniki:</w:t>
      </w:r>
    </w:p>
    <w:p w14:paraId="50172CF6" w14:textId="65F11F15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1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</w:p>
    <w:p w14:paraId="40016134" w14:textId="5772891C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2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Karta oceny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o udzielenie Grantu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</w:p>
    <w:p w14:paraId="5A5EB796" w14:textId="1E844461" w:rsidR="00DF1FF6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3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Umowa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udzielenie Grantu</w:t>
      </w:r>
    </w:p>
    <w:p w14:paraId="27D60CB3" w14:textId="48BEAFF0" w:rsidR="0032549A" w:rsidRDefault="0032549A" w:rsidP="00FF71EA">
      <w:pPr>
        <w:spacing w:line="36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4) Załącznik nr 4  - Sprawozdanie </w:t>
      </w:r>
      <w:r w:rsidR="004D70E0">
        <w:rPr>
          <w:rFonts w:ascii="Arial" w:eastAsia="Times New Roman" w:hAnsi="Arial" w:cs="Arial"/>
          <w:sz w:val="25"/>
          <w:szCs w:val="25"/>
          <w:lang w:eastAsia="pl-PL"/>
        </w:rPr>
        <w:t xml:space="preserve">końcowe </w:t>
      </w:r>
      <w:r>
        <w:rPr>
          <w:rFonts w:ascii="Arial" w:eastAsia="Times New Roman" w:hAnsi="Arial" w:cs="Arial"/>
          <w:sz w:val="25"/>
          <w:szCs w:val="25"/>
          <w:lang w:eastAsia="pl-PL"/>
        </w:rPr>
        <w:t>z realizacji Grantu</w:t>
      </w:r>
    </w:p>
    <w:sectPr w:rsidR="0032549A" w:rsidSect="000250FD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62B7E" w14:textId="77777777" w:rsidR="00056158" w:rsidRDefault="00056158" w:rsidP="00F42DFD">
      <w:pPr>
        <w:spacing w:after="0" w:line="240" w:lineRule="auto"/>
      </w:pPr>
      <w:r>
        <w:separator/>
      </w:r>
    </w:p>
  </w:endnote>
  <w:endnote w:type="continuationSeparator" w:id="0">
    <w:p w14:paraId="37CDA93B" w14:textId="77777777" w:rsidR="00056158" w:rsidRDefault="00056158" w:rsidP="00F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1244331"/>
      <w:docPartObj>
        <w:docPartGallery w:val="Page Numbers (Bottom of Page)"/>
        <w:docPartUnique/>
      </w:docPartObj>
    </w:sdtPr>
    <w:sdtEndPr/>
    <w:sdtContent>
      <w:p w14:paraId="6C291F07" w14:textId="48E90633" w:rsidR="000250FD" w:rsidRDefault="000250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69">
          <w:rPr>
            <w:noProof/>
          </w:rPr>
          <w:t>2</w:t>
        </w:r>
        <w:r>
          <w:fldChar w:fldCharType="end"/>
        </w:r>
      </w:p>
    </w:sdtContent>
  </w:sdt>
  <w:p w14:paraId="386261EF" w14:textId="77777777" w:rsidR="000250FD" w:rsidRDefault="00025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EA945" w14:textId="77777777" w:rsidR="00056158" w:rsidRDefault="00056158" w:rsidP="00F42DFD">
      <w:pPr>
        <w:spacing w:after="0" w:line="240" w:lineRule="auto"/>
      </w:pPr>
      <w:r>
        <w:separator/>
      </w:r>
    </w:p>
  </w:footnote>
  <w:footnote w:type="continuationSeparator" w:id="0">
    <w:p w14:paraId="22A9DE45" w14:textId="77777777" w:rsidR="00056158" w:rsidRDefault="00056158" w:rsidP="00F4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575F" w14:textId="6C4F4DFC" w:rsidR="003F3093" w:rsidRDefault="003F3093">
    <w:pPr>
      <w:pStyle w:val="Nagwek"/>
    </w:pPr>
    <w:r>
      <w:rPr>
        <w:noProof/>
        <w:lang w:eastAsia="pl-PL"/>
      </w:rPr>
      <w:drawing>
        <wp:inline distT="0" distB="0" distL="0" distR="0" wp14:anchorId="608D3185" wp14:editId="7FB1133F">
          <wp:extent cx="5755005" cy="731520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53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0099"/>
    <w:multiLevelType w:val="hybridMultilevel"/>
    <w:tmpl w:val="7E2A8C8C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21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71B"/>
    <w:multiLevelType w:val="hybridMultilevel"/>
    <w:tmpl w:val="87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28D5"/>
    <w:multiLevelType w:val="hybridMultilevel"/>
    <w:tmpl w:val="C57A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7F0B"/>
    <w:multiLevelType w:val="hybridMultilevel"/>
    <w:tmpl w:val="4746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437C"/>
    <w:multiLevelType w:val="hybridMultilevel"/>
    <w:tmpl w:val="F91C688A"/>
    <w:lvl w:ilvl="0" w:tplc="D2CEADC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0E0D97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D31"/>
    <w:multiLevelType w:val="hybridMultilevel"/>
    <w:tmpl w:val="0BF052B2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14A"/>
    <w:multiLevelType w:val="hybridMultilevel"/>
    <w:tmpl w:val="A63CD9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5B90"/>
    <w:multiLevelType w:val="hybridMultilevel"/>
    <w:tmpl w:val="A17C8542"/>
    <w:lvl w:ilvl="0" w:tplc="B46E7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26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5848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45FB"/>
    <w:multiLevelType w:val="hybridMultilevel"/>
    <w:tmpl w:val="3DCE83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C465E4E"/>
    <w:multiLevelType w:val="hybridMultilevel"/>
    <w:tmpl w:val="0FEE6E2E"/>
    <w:lvl w:ilvl="0" w:tplc="9B6E75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CBA31DF"/>
    <w:multiLevelType w:val="hybridMultilevel"/>
    <w:tmpl w:val="4A062C02"/>
    <w:lvl w:ilvl="0" w:tplc="4336F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9158A"/>
    <w:multiLevelType w:val="hybridMultilevel"/>
    <w:tmpl w:val="FA2861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C667A"/>
    <w:multiLevelType w:val="hybridMultilevel"/>
    <w:tmpl w:val="B0180FFA"/>
    <w:lvl w:ilvl="0" w:tplc="735AA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7084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1A5A21"/>
    <w:multiLevelType w:val="hybridMultilevel"/>
    <w:tmpl w:val="80AC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4AC5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C3A6A"/>
    <w:multiLevelType w:val="hybridMultilevel"/>
    <w:tmpl w:val="53B6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F2D48"/>
    <w:multiLevelType w:val="hybridMultilevel"/>
    <w:tmpl w:val="D61A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40FC0"/>
    <w:multiLevelType w:val="hybridMultilevel"/>
    <w:tmpl w:val="F2B0D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B4088F"/>
    <w:multiLevelType w:val="hybridMultilevel"/>
    <w:tmpl w:val="F00EF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AE5A2A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21F4"/>
    <w:multiLevelType w:val="hybridMultilevel"/>
    <w:tmpl w:val="7E74BC04"/>
    <w:lvl w:ilvl="0" w:tplc="656C4C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92B69"/>
    <w:multiLevelType w:val="multilevel"/>
    <w:tmpl w:val="D924BA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  <w:vertAlign w:val="baseline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5"/>
  </w:num>
  <w:num w:numId="5">
    <w:abstractNumId w:val="16"/>
  </w:num>
  <w:num w:numId="6">
    <w:abstractNumId w:val="9"/>
  </w:num>
  <w:num w:numId="7">
    <w:abstractNumId w:val="21"/>
  </w:num>
  <w:num w:numId="8">
    <w:abstractNumId w:val="6"/>
  </w:num>
  <w:num w:numId="9">
    <w:abstractNumId w:val="10"/>
  </w:num>
  <w:num w:numId="10">
    <w:abstractNumId w:val="5"/>
  </w:num>
  <w:num w:numId="11">
    <w:abstractNumId w:val="17"/>
  </w:num>
  <w:num w:numId="12">
    <w:abstractNumId w:val="2"/>
  </w:num>
  <w:num w:numId="13">
    <w:abstractNumId w:val="8"/>
  </w:num>
  <w:num w:numId="14">
    <w:abstractNumId w:val="13"/>
  </w:num>
  <w:num w:numId="15">
    <w:abstractNumId w:val="22"/>
  </w:num>
  <w:num w:numId="16">
    <w:abstractNumId w:val="20"/>
  </w:num>
  <w:num w:numId="17">
    <w:abstractNumId w:val="0"/>
  </w:num>
  <w:num w:numId="18">
    <w:abstractNumId w:val="18"/>
  </w:num>
  <w:num w:numId="19">
    <w:abstractNumId w:val="26"/>
  </w:num>
  <w:num w:numId="20">
    <w:abstractNumId w:val="12"/>
  </w:num>
  <w:num w:numId="21">
    <w:abstractNumId w:val="23"/>
  </w:num>
  <w:num w:numId="22">
    <w:abstractNumId w:val="7"/>
  </w:num>
  <w:num w:numId="23">
    <w:abstractNumId w:val="24"/>
  </w:num>
  <w:num w:numId="24">
    <w:abstractNumId w:val="1"/>
  </w:num>
  <w:num w:numId="25">
    <w:abstractNumId w:val="27"/>
  </w:num>
  <w:num w:numId="26">
    <w:abstractNumId w:val="11"/>
  </w:num>
  <w:num w:numId="27">
    <w:abstractNumId w:val="15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C"/>
    <w:rsid w:val="0000263C"/>
    <w:rsid w:val="000134D1"/>
    <w:rsid w:val="000158F5"/>
    <w:rsid w:val="000250FD"/>
    <w:rsid w:val="00034260"/>
    <w:rsid w:val="00056158"/>
    <w:rsid w:val="00063043"/>
    <w:rsid w:val="000744C2"/>
    <w:rsid w:val="00085BD7"/>
    <w:rsid w:val="00090AD1"/>
    <w:rsid w:val="000942DA"/>
    <w:rsid w:val="000A3CF5"/>
    <w:rsid w:val="000D4B15"/>
    <w:rsid w:val="000F2846"/>
    <w:rsid w:val="000F69EF"/>
    <w:rsid w:val="00122E82"/>
    <w:rsid w:val="00137C4F"/>
    <w:rsid w:val="001403E8"/>
    <w:rsid w:val="0015187B"/>
    <w:rsid w:val="00160D39"/>
    <w:rsid w:val="00166B93"/>
    <w:rsid w:val="00192AA7"/>
    <w:rsid w:val="00195B1E"/>
    <w:rsid w:val="00223D83"/>
    <w:rsid w:val="00230276"/>
    <w:rsid w:val="00235A84"/>
    <w:rsid w:val="00237F15"/>
    <w:rsid w:val="002602C5"/>
    <w:rsid w:val="00270D13"/>
    <w:rsid w:val="002A190E"/>
    <w:rsid w:val="002B1918"/>
    <w:rsid w:val="002C0A84"/>
    <w:rsid w:val="0032549A"/>
    <w:rsid w:val="003329B5"/>
    <w:rsid w:val="003428A2"/>
    <w:rsid w:val="00351DF8"/>
    <w:rsid w:val="003522D1"/>
    <w:rsid w:val="00394AC9"/>
    <w:rsid w:val="003A447D"/>
    <w:rsid w:val="003C1D66"/>
    <w:rsid w:val="003F3093"/>
    <w:rsid w:val="004028A4"/>
    <w:rsid w:val="004408F8"/>
    <w:rsid w:val="00457893"/>
    <w:rsid w:val="00457B16"/>
    <w:rsid w:val="00462E85"/>
    <w:rsid w:val="00476AEE"/>
    <w:rsid w:val="00476C0E"/>
    <w:rsid w:val="00482485"/>
    <w:rsid w:val="004826D4"/>
    <w:rsid w:val="0048595B"/>
    <w:rsid w:val="004C7908"/>
    <w:rsid w:val="004D501D"/>
    <w:rsid w:val="004D70E0"/>
    <w:rsid w:val="004F391D"/>
    <w:rsid w:val="004F39BC"/>
    <w:rsid w:val="004F77A2"/>
    <w:rsid w:val="00514B0C"/>
    <w:rsid w:val="00517055"/>
    <w:rsid w:val="00525C9A"/>
    <w:rsid w:val="00571885"/>
    <w:rsid w:val="0057711D"/>
    <w:rsid w:val="005D44A7"/>
    <w:rsid w:val="005E66AC"/>
    <w:rsid w:val="005F2C50"/>
    <w:rsid w:val="006149A2"/>
    <w:rsid w:val="00634012"/>
    <w:rsid w:val="006369D4"/>
    <w:rsid w:val="00640216"/>
    <w:rsid w:val="00641C4D"/>
    <w:rsid w:val="006430C5"/>
    <w:rsid w:val="00650816"/>
    <w:rsid w:val="00661F69"/>
    <w:rsid w:val="006808B5"/>
    <w:rsid w:val="00705943"/>
    <w:rsid w:val="00715474"/>
    <w:rsid w:val="007824A3"/>
    <w:rsid w:val="00782B72"/>
    <w:rsid w:val="007915E9"/>
    <w:rsid w:val="007F58A6"/>
    <w:rsid w:val="0081217B"/>
    <w:rsid w:val="0081643B"/>
    <w:rsid w:val="00821802"/>
    <w:rsid w:val="00830366"/>
    <w:rsid w:val="00840BCB"/>
    <w:rsid w:val="0085242C"/>
    <w:rsid w:val="00854321"/>
    <w:rsid w:val="00874216"/>
    <w:rsid w:val="008A1EDD"/>
    <w:rsid w:val="008A2061"/>
    <w:rsid w:val="008A3E30"/>
    <w:rsid w:val="008C1375"/>
    <w:rsid w:val="008F201B"/>
    <w:rsid w:val="008F30A6"/>
    <w:rsid w:val="008F3B5D"/>
    <w:rsid w:val="0092469A"/>
    <w:rsid w:val="00963635"/>
    <w:rsid w:val="009672A9"/>
    <w:rsid w:val="00970709"/>
    <w:rsid w:val="009955EA"/>
    <w:rsid w:val="009B0D06"/>
    <w:rsid w:val="009D6395"/>
    <w:rsid w:val="009D6E93"/>
    <w:rsid w:val="009F01E7"/>
    <w:rsid w:val="00A007B7"/>
    <w:rsid w:val="00A022E6"/>
    <w:rsid w:val="00A063D4"/>
    <w:rsid w:val="00A307B9"/>
    <w:rsid w:val="00A62486"/>
    <w:rsid w:val="00A77431"/>
    <w:rsid w:val="00A80DED"/>
    <w:rsid w:val="00A83900"/>
    <w:rsid w:val="00AC5E18"/>
    <w:rsid w:val="00AC693A"/>
    <w:rsid w:val="00AD35A0"/>
    <w:rsid w:val="00AE10FB"/>
    <w:rsid w:val="00AF24FC"/>
    <w:rsid w:val="00B0470A"/>
    <w:rsid w:val="00B1118B"/>
    <w:rsid w:val="00B41641"/>
    <w:rsid w:val="00B5055E"/>
    <w:rsid w:val="00B62C55"/>
    <w:rsid w:val="00B673EA"/>
    <w:rsid w:val="00BA2958"/>
    <w:rsid w:val="00BD7475"/>
    <w:rsid w:val="00BD7FB3"/>
    <w:rsid w:val="00BE27AD"/>
    <w:rsid w:val="00BF3F45"/>
    <w:rsid w:val="00C309CD"/>
    <w:rsid w:val="00C31A70"/>
    <w:rsid w:val="00C4602F"/>
    <w:rsid w:val="00C4608C"/>
    <w:rsid w:val="00C71BDE"/>
    <w:rsid w:val="00C77DD0"/>
    <w:rsid w:val="00C81FC9"/>
    <w:rsid w:val="00CA47A7"/>
    <w:rsid w:val="00CB477A"/>
    <w:rsid w:val="00CB6C61"/>
    <w:rsid w:val="00CC15C8"/>
    <w:rsid w:val="00CC7910"/>
    <w:rsid w:val="00CF0C0E"/>
    <w:rsid w:val="00CF2381"/>
    <w:rsid w:val="00CF3FE9"/>
    <w:rsid w:val="00CF46CB"/>
    <w:rsid w:val="00D205BF"/>
    <w:rsid w:val="00D35D62"/>
    <w:rsid w:val="00D42314"/>
    <w:rsid w:val="00D54C7D"/>
    <w:rsid w:val="00D57C4D"/>
    <w:rsid w:val="00D74186"/>
    <w:rsid w:val="00D74FE7"/>
    <w:rsid w:val="00D85637"/>
    <w:rsid w:val="00DB4FAC"/>
    <w:rsid w:val="00DC298E"/>
    <w:rsid w:val="00DC6449"/>
    <w:rsid w:val="00DD1553"/>
    <w:rsid w:val="00DE3EE6"/>
    <w:rsid w:val="00DF1FF6"/>
    <w:rsid w:val="00DF4C08"/>
    <w:rsid w:val="00E01F1A"/>
    <w:rsid w:val="00E23C6E"/>
    <w:rsid w:val="00E5394D"/>
    <w:rsid w:val="00E549A7"/>
    <w:rsid w:val="00E55079"/>
    <w:rsid w:val="00E7101A"/>
    <w:rsid w:val="00EA524C"/>
    <w:rsid w:val="00EB2E11"/>
    <w:rsid w:val="00EB32F3"/>
    <w:rsid w:val="00EC1DF2"/>
    <w:rsid w:val="00EC55A8"/>
    <w:rsid w:val="00ED0F6B"/>
    <w:rsid w:val="00EE211D"/>
    <w:rsid w:val="00F04607"/>
    <w:rsid w:val="00F076DF"/>
    <w:rsid w:val="00F255DE"/>
    <w:rsid w:val="00F267DA"/>
    <w:rsid w:val="00F42DFD"/>
    <w:rsid w:val="00F50AB7"/>
    <w:rsid w:val="00F54190"/>
    <w:rsid w:val="00F562D5"/>
    <w:rsid w:val="00F613C2"/>
    <w:rsid w:val="00F73A10"/>
    <w:rsid w:val="00FA5F9A"/>
    <w:rsid w:val="00FB37EB"/>
    <w:rsid w:val="00FC4B97"/>
    <w:rsid w:val="00FE0E69"/>
    <w:rsid w:val="00FE1652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272C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9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90E"/>
    <w:rPr>
      <w:color w:val="605E5C"/>
      <w:shd w:val="clear" w:color="auto" w:fill="E1DFDD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D6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43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omylnaczcionkaakapitu"/>
    <w:rsid w:val="002B1918"/>
  </w:style>
  <w:style w:type="paragraph" w:customStyle="1" w:styleId="Normalny1">
    <w:name w:val="Normalny1"/>
    <w:rsid w:val="00F562D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0942DA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42D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42DF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42D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0FD"/>
  </w:style>
  <w:style w:type="paragraph" w:styleId="Stopka">
    <w:name w:val="footer"/>
    <w:basedOn w:val="Normalny"/>
    <w:link w:val="Stopka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0FD"/>
  </w:style>
  <w:style w:type="paragraph" w:styleId="Tekstpodstawowy2">
    <w:name w:val="Body Text 2"/>
    <w:basedOn w:val="Normalny"/>
    <w:link w:val="Tekstpodstawowy2Znak"/>
    <w:unhideWhenUsed/>
    <w:rsid w:val="00CB6C6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6C61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48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48248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03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2E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yperlink" Target="mailto:leszek.beger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rad.jantarski@sejmik.kiel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kocia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ietokrzyskie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Relationship Id="rId14" Type="http://schemas.openxmlformats.org/officeDocument/2006/relationships/hyperlink" Target="mailto:michal.chojnacki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6ABB-7430-4E2D-AB41-40E1BE66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4528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Beger, Leszek</dc:creator>
  <cp:lastModifiedBy>Bukała-Jachimkowska, Grażyna</cp:lastModifiedBy>
  <cp:revision>2</cp:revision>
  <cp:lastPrinted>2020-07-07T10:22:00Z</cp:lastPrinted>
  <dcterms:created xsi:type="dcterms:W3CDTF">2020-08-24T14:22:00Z</dcterms:created>
  <dcterms:modified xsi:type="dcterms:W3CDTF">2020-08-24T14:22:00Z</dcterms:modified>
</cp:coreProperties>
</file>