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53D1" w14:textId="3A8F7070" w:rsidR="00CB52E5" w:rsidRDefault="00CB52E5" w:rsidP="00CB52E5">
      <w:pPr>
        <w:spacing w:after="0" w:line="360" w:lineRule="auto"/>
        <w:ind w:firstLine="284"/>
        <w:jc w:val="center"/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t>UZASADNIENIE</w:t>
      </w:r>
    </w:p>
    <w:p w14:paraId="499F0978" w14:textId="530C0A38" w:rsidR="00CB52E5" w:rsidRDefault="00134B57" w:rsidP="00CB52E5">
      <w:pPr>
        <w:spacing w:after="0" w:line="360" w:lineRule="auto"/>
        <w:ind w:firstLine="284"/>
        <w:jc w:val="center"/>
      </w:pPr>
      <w:r>
        <w:t>zawierające informacje o uwarunkowaniach</w:t>
      </w:r>
    </w:p>
    <w:p w14:paraId="05625A95" w14:textId="04241569" w:rsidR="00134B57" w:rsidRPr="00134B57" w:rsidRDefault="00134B57" w:rsidP="00134B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sz w:val="18"/>
          <w:szCs w:val="18"/>
          <w:lang w:eastAsia="pl-PL"/>
          <w14:ligatures w14:val="none"/>
        </w:rPr>
      </w:pPr>
      <w:r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>wynikających</w:t>
      </w:r>
      <w:r w:rsidRPr="00134B57"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 xml:space="preserve"> z art. 4</w:t>
      </w:r>
      <w:r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>9</w:t>
      </w:r>
      <w:r w:rsidRPr="00134B57"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 xml:space="preserve"> ustawy o udostępnianiu informacji o środowisku i jego ochronie, udziale społeczeństwa w ochronie środowiska oraz o ocenach oddziaływania na środowisko (Dz.U. 202</w:t>
      </w:r>
      <w:r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>3</w:t>
      </w:r>
      <w:r w:rsidRPr="00134B57"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 xml:space="preserve"> poz. </w:t>
      </w:r>
      <w:r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>1094</w:t>
      </w:r>
      <w:r w:rsidRPr="00134B57"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 xml:space="preserve"> z</w:t>
      </w:r>
      <w:r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>e</w:t>
      </w:r>
      <w:r w:rsidRPr="00134B57">
        <w:rPr>
          <w:rFonts w:eastAsia="Times New Roman"/>
          <w:i/>
          <w:kern w:val="0"/>
          <w:sz w:val="18"/>
          <w:szCs w:val="18"/>
          <w:lang w:eastAsia="pl-PL"/>
          <w14:ligatures w14:val="none"/>
        </w:rPr>
        <w:t xml:space="preserve"> zm.)</w:t>
      </w:r>
    </w:p>
    <w:p w14:paraId="2AC34F7C" w14:textId="77777777" w:rsidR="00134B57" w:rsidRPr="00134B57" w:rsidRDefault="00134B57" w:rsidP="00CB52E5">
      <w:pPr>
        <w:spacing w:after="0" w:line="360" w:lineRule="auto"/>
        <w:ind w:firstLine="284"/>
        <w:jc w:val="center"/>
        <w:rPr>
          <w:rFonts w:eastAsia="Calibri"/>
          <w:kern w:val="0"/>
          <w:sz w:val="18"/>
          <w:szCs w:val="18"/>
          <w14:ligatures w14:val="none"/>
        </w:rPr>
      </w:pPr>
    </w:p>
    <w:p w14:paraId="25DB2B08" w14:textId="74591FC1" w:rsidR="00CB52E5" w:rsidRPr="00CB52E5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Projekt „Aktualizacji Programu</w:t>
      </w:r>
      <w:r w:rsidR="00221582">
        <w:rPr>
          <w:rFonts w:eastAsia="Calibri"/>
          <w:kern w:val="0"/>
          <w14:ligatures w14:val="none"/>
        </w:rPr>
        <w:t xml:space="preserve"> ochrony powietrza dla województwa świętokrzyskiego wraz z planem działań krótkoterminowych</w:t>
      </w:r>
      <w:r w:rsidRPr="00CB52E5">
        <w:rPr>
          <w:rFonts w:eastAsia="Calibri"/>
          <w:kern w:val="0"/>
          <w14:ligatures w14:val="none"/>
        </w:rPr>
        <w:t xml:space="preserve">” dotyczy dokumentu przyjętego uchwałą </w:t>
      </w:r>
      <w:r w:rsidR="00221582">
        <w:rPr>
          <w:rFonts w:eastAsia="Calibri"/>
          <w:kern w:val="0"/>
          <w14:ligatures w14:val="none"/>
        </w:rPr>
        <w:br/>
      </w:r>
      <w:r w:rsidRPr="00CB52E5">
        <w:rPr>
          <w:rFonts w:eastAsia="Calibri"/>
          <w:kern w:val="0"/>
          <w14:ligatures w14:val="none"/>
        </w:rPr>
        <w:t xml:space="preserve">Nr XXII/291/20 Sejmiku Województwa Świętokrzyskiego z dnia 29 czerwca 2020 r. </w:t>
      </w:r>
      <w:r w:rsidR="00221582">
        <w:rPr>
          <w:rFonts w:eastAsia="Calibri"/>
          <w:kern w:val="0"/>
          <w14:ligatures w14:val="none"/>
        </w:rPr>
        <w:br/>
      </w:r>
      <w:r w:rsidRPr="00CB52E5">
        <w:rPr>
          <w:rFonts w:eastAsia="Calibri"/>
          <w:kern w:val="0"/>
          <w14:ligatures w14:val="none"/>
        </w:rPr>
        <w:t xml:space="preserve">w sprawie określenia „Programu ochrony powietrza dla województwa świętokrzyskiego wraz z planem działań krótkoterminowych.” Przeprowadzona dla tego dokumentu strategiczna ocena oddziaływania na środowisko wykazała, że proponowane do realizacji przedsięwzięcia mają zdecydowanie pozytywny wpływ na środowisko, a realizacja wskazanych w „Programie…” zadań nie będzie powodować negatywnego wpływu </w:t>
      </w:r>
      <w:r w:rsidR="007C1FE4">
        <w:rPr>
          <w:rFonts w:eastAsia="Calibri"/>
          <w:kern w:val="0"/>
          <w14:ligatures w14:val="none"/>
        </w:rPr>
        <w:br/>
      </w:r>
      <w:r w:rsidRPr="00CB52E5">
        <w:rPr>
          <w:rFonts w:eastAsia="Calibri"/>
          <w:kern w:val="0"/>
          <w14:ligatures w14:val="none"/>
        </w:rPr>
        <w:t>na środowisko, a także oddziaływań o znaczeniu transgranicznym.</w:t>
      </w:r>
    </w:p>
    <w:p w14:paraId="640E9E7B" w14:textId="77777777" w:rsidR="00CB52E5" w:rsidRPr="00CB52E5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Przedmiotowy projekt „Aktualizacji Programu…” polega na zmianie zapisów rozdziałów zawartych w planie działań krótkoterminowych: 11.3. </w:t>
      </w:r>
      <w:r w:rsidRPr="00CB52E5">
        <w:rPr>
          <w:rFonts w:eastAsia="Calibri"/>
          <w:i/>
          <w:kern w:val="0"/>
          <w14:ligatures w14:val="none"/>
        </w:rPr>
        <w:t>Tryb wdrażania i ogłaszania działań krótkoterminowych</w:t>
      </w:r>
      <w:r w:rsidRPr="00CB52E5">
        <w:rPr>
          <w:rFonts w:eastAsia="Calibri"/>
          <w:kern w:val="0"/>
          <w14:ligatures w14:val="none"/>
        </w:rPr>
        <w:t xml:space="preserve"> oraz 11.4. </w:t>
      </w:r>
      <w:r w:rsidRPr="00CB52E5">
        <w:rPr>
          <w:rFonts w:eastAsia="Calibri"/>
          <w:i/>
          <w:kern w:val="0"/>
          <w14:ligatures w14:val="none"/>
        </w:rPr>
        <w:t>Działania krótkoterminowe ze względu na przekroczenia poziomów dopuszczalnych, docelowych, alarmowych oraz poziomu informowania</w:t>
      </w:r>
      <w:r w:rsidRPr="00CB52E5">
        <w:rPr>
          <w:rFonts w:eastAsia="Calibri"/>
          <w:kern w:val="0"/>
          <w14:ligatures w14:val="none"/>
        </w:rPr>
        <w:t>, poprzez:</w:t>
      </w:r>
    </w:p>
    <w:p w14:paraId="1FE2C6F4" w14:textId="77777777" w:rsidR="00CB52E5" w:rsidRPr="00CB52E5" w:rsidRDefault="00CB52E5" w:rsidP="00CB52E5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Wprowadzenie kolorystyki oznaczenia poszczególnych poziomów zagrożenia oraz rodzaju informacji, dla których ogłaszane będą powiadomienia:</w:t>
      </w:r>
    </w:p>
    <w:p w14:paraId="59F73231" w14:textId="77777777" w:rsidR="00CB52E5" w:rsidRPr="00CB52E5" w:rsidRDefault="00CB52E5" w:rsidP="00CB52E5">
      <w:pPr>
        <w:numPr>
          <w:ilvl w:val="1"/>
          <w:numId w:val="4"/>
        </w:numPr>
        <w:spacing w:after="0" w:line="360" w:lineRule="auto"/>
        <w:ind w:left="851" w:hanging="284"/>
        <w:contextualSpacing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kolorem żółtym oznaczane będzie OSTRZEŻENIE, czyli powiadomienie o ryzyku wystąpienia przekroczenia poziomu dopuszczalnego lub docelowego,</w:t>
      </w:r>
    </w:p>
    <w:p w14:paraId="7B4D5A70" w14:textId="77777777" w:rsidR="00CB52E5" w:rsidRPr="00CB52E5" w:rsidRDefault="00CB52E5" w:rsidP="00CB52E5">
      <w:pPr>
        <w:numPr>
          <w:ilvl w:val="1"/>
          <w:numId w:val="4"/>
        </w:numPr>
        <w:spacing w:after="0" w:line="360" w:lineRule="auto"/>
        <w:ind w:left="851" w:hanging="284"/>
        <w:contextualSpacing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kolorem pomarańczowym oznaczany będzie ALARM I STOPNIA, czyli powiadomienie o ryzyku wystąpienia przekroczenia poziomu informowania,</w:t>
      </w:r>
    </w:p>
    <w:p w14:paraId="61937651" w14:textId="77777777" w:rsidR="00CB52E5" w:rsidRPr="00CB52E5" w:rsidRDefault="00CB52E5" w:rsidP="00CB52E5">
      <w:pPr>
        <w:numPr>
          <w:ilvl w:val="1"/>
          <w:numId w:val="4"/>
        </w:numPr>
        <w:spacing w:after="0" w:line="360" w:lineRule="auto"/>
        <w:ind w:left="851" w:hanging="284"/>
        <w:contextualSpacing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kolorem czerwonym oznaczany będzie ALARM II STOPNIA, czyli powiadomienie </w:t>
      </w:r>
      <w:r w:rsidRPr="00CB52E5">
        <w:rPr>
          <w:rFonts w:eastAsia="Calibri"/>
          <w:kern w:val="0"/>
          <w14:ligatures w14:val="none"/>
        </w:rPr>
        <w:br/>
        <w:t>o ryzyku wystąpienia przekroczenia poziomu alarmowego;</w:t>
      </w:r>
    </w:p>
    <w:p w14:paraId="712EF689" w14:textId="77777777" w:rsidR="00CB52E5" w:rsidRPr="00CB52E5" w:rsidRDefault="00CB52E5" w:rsidP="00CB52E5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Doprecyzowanie zawartości komunikatów przekazywanych przez Wojewódzkie Centrum Zarządzania Kryzysowego w Kielcach, listy podmiotów będących odbiorcami komunikatów, jak i sposobów przekazywania informacji;</w:t>
      </w:r>
    </w:p>
    <w:p w14:paraId="31B4E24D" w14:textId="77777777" w:rsidR="00CB52E5" w:rsidRPr="00CB52E5" w:rsidRDefault="00CB52E5" w:rsidP="00CB52E5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Rozszerzenie listy podmiotów wskazanych do realizacji zapisów planu działań krótkoterminowych o jednostki samorządu terytorialnego w zakresie zobowiązania </w:t>
      </w:r>
      <w:r w:rsidRPr="00CB52E5">
        <w:rPr>
          <w:rFonts w:eastAsia="Calibri"/>
          <w:kern w:val="0"/>
          <w14:ligatures w14:val="none"/>
        </w:rPr>
        <w:br/>
        <w:t>ich do informowania mieszkańców o możliwości pobrania aplikacji dotyczących jakości powietrza i stanach zagrożenia;</w:t>
      </w:r>
    </w:p>
    <w:p w14:paraId="035A799F" w14:textId="77777777" w:rsidR="00CB52E5" w:rsidRPr="00CB52E5" w:rsidRDefault="00CB52E5" w:rsidP="00CB52E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Pojawienie się zalecenia, aby dyrektorzy placówek oświatowych i opiekuńczych przekazali rodzicom/opiekunom osób przebywających w placówkach informację o stanie </w:t>
      </w:r>
      <w:r w:rsidRPr="00CB52E5">
        <w:rPr>
          <w:rFonts w:eastAsia="Calibri"/>
          <w:kern w:val="0"/>
          <w14:ligatures w14:val="none"/>
        </w:rPr>
        <w:lastRenderedPageBreak/>
        <w:t>jakości powietrza oraz aby decyzja o aktywności na zewnątrz była uzależniona od jakości powietrza;</w:t>
      </w:r>
    </w:p>
    <w:p w14:paraId="40F86D7A" w14:textId="77777777" w:rsidR="00CB52E5" w:rsidRPr="00CB52E5" w:rsidRDefault="00CB52E5" w:rsidP="00CB52E5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W części dotyczącej sposobu postępowania jednostek wskazanych do realizacji zapisów planu działań krótkoterminowych, dodano zapis dla straży miejskiej/gminnej </w:t>
      </w:r>
      <w:r w:rsidRPr="00CB52E5">
        <w:rPr>
          <w:rFonts w:eastAsia="Calibri"/>
          <w:kern w:val="0"/>
          <w14:ligatures w14:val="none"/>
        </w:rPr>
        <w:br/>
        <w:t>o prowadzeniu wzmożonych kontroli w zakresie przestrzegania ograniczeń i zakazów wynikających z uchwały antysmogowej.</w:t>
      </w:r>
    </w:p>
    <w:p w14:paraId="158CBB50" w14:textId="77777777" w:rsidR="00CB52E5" w:rsidRPr="00CB52E5" w:rsidRDefault="00CB52E5" w:rsidP="00CB52E5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W częściach dotyczących działań ochronnych w zakresie ograniczania negatywnego wpływu wysokich stężeń na zdrowie ludności dodano zapisy:</w:t>
      </w:r>
    </w:p>
    <w:p w14:paraId="52FAA54F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>zalecenie ograniczenia przebywania na otwartej przestrzeni dla osób przebywających w placówkach opiekuńczych (nie tylko oświatowych),</w:t>
      </w:r>
    </w:p>
    <w:p w14:paraId="74A498D8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>ograniczenie ekspozycji osób pracujących na otwartej przestrzeni,</w:t>
      </w:r>
    </w:p>
    <w:p w14:paraId="69888BCE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 xml:space="preserve">pora i miejsce uprawiania aktywności fizycznej powinny być tak wybrane, </w:t>
      </w:r>
      <w:r w:rsidRPr="00CB52E5">
        <w:rPr>
          <w:rFonts w:eastAsia="Calibri"/>
          <w:kern w:val="0"/>
          <w14:ligatures w14:val="none"/>
        </w:rPr>
        <w:br/>
        <w:t>by zapewniały zmniejszone narażenie na zanieczyszczenia powietrza,</w:t>
      </w:r>
    </w:p>
    <w:p w14:paraId="3668490F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 xml:space="preserve">masowe imprezy sportowe, takie jak mecze piłki nożnej lub biegi </w:t>
      </w:r>
      <w:proofErr w:type="spellStart"/>
      <w:r w:rsidRPr="00CB52E5">
        <w:rPr>
          <w:rFonts w:eastAsia="Calibri"/>
          <w:kern w:val="0"/>
          <w14:ligatures w14:val="none"/>
        </w:rPr>
        <w:t>maratonowe</w:t>
      </w:r>
      <w:proofErr w:type="spellEnd"/>
      <w:r w:rsidRPr="00CB52E5">
        <w:rPr>
          <w:rFonts w:eastAsia="Calibri"/>
          <w:kern w:val="0"/>
          <w14:ligatures w14:val="none"/>
        </w:rPr>
        <w:t>, powinny być planowane w porach i miejscach, w których spodziewane są najniższe poziomy zanieczyszczeń powietrza,</w:t>
      </w:r>
    </w:p>
    <w:p w14:paraId="59C79B84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 xml:space="preserve">powiadomienie za pomocą SMS o złej jakości powietrza, </w:t>
      </w:r>
    </w:p>
    <w:p w14:paraId="59A5F357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>przesyłanie newsletterów w zakresie ochrony powietrza;</w:t>
      </w:r>
    </w:p>
    <w:p w14:paraId="4E752905" w14:textId="77777777" w:rsidR="00CB52E5" w:rsidRPr="00CB52E5" w:rsidRDefault="00CB52E5" w:rsidP="00CB52E5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W częściach dotyczących działań w odniesieniu do wrażliwych grup ludności dodano zapisy:</w:t>
      </w:r>
    </w:p>
    <w:p w14:paraId="7FB38B8A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>zgodnie z zasadą ostrożności, grupom szczególnego ryzyka (ze względu na swój stan zdrowia lub zawód) należy doradzać najlepsze pory i miejsca na aktywność fizyczną lub pracę na zewnątrz podczas epizodów smogowych,</w:t>
      </w:r>
    </w:p>
    <w:p w14:paraId="25FD2E76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>informowanie rodziców/opiekunów osób przebywających w placówkach o stanie jakości powietrza i uzależnienie aktywności na zewnątrz od jakości powietrza,</w:t>
      </w:r>
    </w:p>
    <w:p w14:paraId="7CEC2C1F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>pacjenci stosujący leki powinni postępować zgodnie z zaleceniami lekarzy.</w:t>
      </w:r>
    </w:p>
    <w:p w14:paraId="0B659781" w14:textId="77777777" w:rsidR="00CB52E5" w:rsidRPr="00CB52E5" w:rsidRDefault="00CB52E5" w:rsidP="00CB52E5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W częściach dotyczących działań prewencyjnych dodano zapis:</w:t>
      </w:r>
    </w:p>
    <w:p w14:paraId="5371D540" w14:textId="77777777" w:rsidR="00CB52E5" w:rsidRPr="00CB52E5" w:rsidRDefault="00CB52E5" w:rsidP="00CB52E5">
      <w:pPr>
        <w:spacing w:after="0" w:line="360" w:lineRule="auto"/>
        <w:ind w:left="851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•</w:t>
      </w:r>
      <w:r w:rsidRPr="00CB52E5">
        <w:rPr>
          <w:rFonts w:eastAsia="Calibri"/>
          <w:kern w:val="0"/>
          <w14:ligatures w14:val="none"/>
        </w:rPr>
        <w:tab/>
        <w:t xml:space="preserve">wzmożone kontrole dotyczące przestrzegania ograniczeń i zakazów wynikających </w:t>
      </w:r>
      <w:r w:rsidRPr="00CB52E5">
        <w:rPr>
          <w:rFonts w:eastAsia="Calibri"/>
          <w:kern w:val="0"/>
          <w14:ligatures w14:val="none"/>
        </w:rPr>
        <w:br/>
        <w:t>z uchwały antysmogowej.</w:t>
      </w:r>
    </w:p>
    <w:p w14:paraId="510EEA97" w14:textId="77777777" w:rsidR="00CB52E5" w:rsidRPr="00CB52E5" w:rsidRDefault="00CB52E5" w:rsidP="00CB52E5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>W części dotyczącej działań prewencyjnych ogłaszanych podczas ALARMU I STOPNIA oraz działań operacyjnych w części dotyczącej ALARMU II STOPNIA dodano zalecenia niestosowania dmuchaw do odśnieżania (nie tylko do sprzątania liści).</w:t>
      </w:r>
    </w:p>
    <w:p w14:paraId="444A83BD" w14:textId="77777777" w:rsidR="00CB52E5" w:rsidRPr="00CB52E5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Projekt „Aktualizacji Programu…” nie dotyczy przedsięwzięć. Proponowane w dokumencie działania będą dotyczyły obszaru całych stref. Odnosić się będą przede wszystkim </w:t>
      </w:r>
      <w:r w:rsidRPr="00CB52E5">
        <w:rPr>
          <w:rFonts w:eastAsia="Calibri"/>
          <w:kern w:val="0"/>
          <w14:ligatures w14:val="none"/>
        </w:rPr>
        <w:br/>
      </w:r>
      <w:r w:rsidRPr="00CB52E5">
        <w:rPr>
          <w:rFonts w:eastAsia="Calibri"/>
          <w:kern w:val="0"/>
          <w14:ligatures w14:val="none"/>
        </w:rPr>
        <w:lastRenderedPageBreak/>
        <w:t xml:space="preserve">do grup ludności wrażliwych na przekroczenie, obejmujących w szczególności osoby starsze i dzieci. Wprowadzone działania ochronne mają charakter tzw. działań „miękkich”, </w:t>
      </w:r>
      <w:proofErr w:type="spellStart"/>
      <w:r w:rsidRPr="00CB52E5">
        <w:rPr>
          <w:rFonts w:eastAsia="Calibri"/>
          <w:kern w:val="0"/>
          <w14:ligatures w14:val="none"/>
        </w:rPr>
        <w:t>nieinwestycyjnych</w:t>
      </w:r>
      <w:proofErr w:type="spellEnd"/>
      <w:r w:rsidRPr="00CB52E5">
        <w:rPr>
          <w:rFonts w:eastAsia="Calibri"/>
          <w:kern w:val="0"/>
          <w14:ligatures w14:val="none"/>
        </w:rPr>
        <w:t>, związanych z informowaniem, edukacją, zapewnieniem bezpieczeństwa ludności i nie ustalają również ram dla późniejszych realizacji przedsięwzięć. Efektem wprowadzonych zmian będzie zwiększony zakres informowania ludności o zaistniałym ryzyku zagrożenia, czego efektem ma być większa ochrona grup wrażliwych. Charakter działań przewidzianych w projekcie „Aktualizacji Programu…” nie będzie inicjował realizacji przedsięwzięć, zwłaszcza mogących znacząco oddziaływać na środowisko, a także nie będzie ustalał ram w sensie usytuowania, rodzaju i skali tych przedsięwzięć.</w:t>
      </w:r>
    </w:p>
    <w:p w14:paraId="79ACBE2D" w14:textId="77777777" w:rsidR="00CB52E5" w:rsidRPr="00CB52E5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Wprowadzone działania ochronne oraz zmiany zapisów w projekcie „Aktualizacji Programu…” dotyczą obszaru całego województwa. Z racji na ich </w:t>
      </w:r>
      <w:proofErr w:type="spellStart"/>
      <w:r w:rsidRPr="00CB52E5">
        <w:rPr>
          <w:rFonts w:eastAsia="Calibri"/>
          <w:kern w:val="0"/>
          <w14:ligatures w14:val="none"/>
        </w:rPr>
        <w:t>nieinwestycyjny</w:t>
      </w:r>
      <w:proofErr w:type="spellEnd"/>
      <w:r w:rsidRPr="00CB52E5">
        <w:rPr>
          <w:rFonts w:eastAsia="Calibri"/>
          <w:kern w:val="0"/>
          <w14:ligatures w14:val="none"/>
        </w:rPr>
        <w:t xml:space="preserve"> charakter nie mają one wpływu na cele i przedmioty ochrony obszarów, ich spójność </w:t>
      </w:r>
      <w:r w:rsidRPr="00CB52E5">
        <w:rPr>
          <w:rFonts w:eastAsia="Calibri"/>
          <w:kern w:val="0"/>
          <w14:ligatures w14:val="none"/>
        </w:rPr>
        <w:br/>
        <w:t xml:space="preserve">oraz integralność, a także na wartości przyrodnicze dla: parków krajobrazowych, obszarów chronionego krajobrazu, pomników przyrody, stanowisk dokumentacyjnych, użytków ekologicznych, zespołów przyrodniczo-krajobrazowych i obszarów Natura 2000, a także </w:t>
      </w:r>
      <w:r w:rsidRPr="00CB52E5">
        <w:rPr>
          <w:rFonts w:eastAsia="Calibri"/>
          <w:kern w:val="0"/>
          <w14:ligatures w14:val="none"/>
        </w:rPr>
        <w:br/>
        <w:t>na chronione gatunki roślin, zwierząt i grzybów. Nie naruszają również zakazów odnoszących się do tych form ochrony przyrody.</w:t>
      </w:r>
    </w:p>
    <w:p w14:paraId="7308C05A" w14:textId="77777777" w:rsidR="00CB52E5" w:rsidRPr="00CB52E5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„Aktualizacja Programu…” stanowić będzie akt prawa miejscowego, pozostawać będzie </w:t>
      </w:r>
      <w:r w:rsidRPr="00CB52E5">
        <w:rPr>
          <w:rFonts w:eastAsia="Calibri"/>
          <w:kern w:val="0"/>
          <w14:ligatures w14:val="none"/>
        </w:rPr>
        <w:br/>
        <w:t>w zgodzie z prawodawstwem krajowym i unijnym. Jego realizacja bądź brak nie spowoduje wystąpienia prawdopodobieństwa oddziaływań skumulowanych. Działania ochronne zdefiniowane w dokumencie nie będą również powodować uciążliwości poza granicami Polski oraz nie będą powodować oddziaływań transgranicznych.</w:t>
      </w:r>
    </w:p>
    <w:p w14:paraId="31C82E36" w14:textId="520CA98C" w:rsidR="00CB52E5" w:rsidRPr="00CB52E5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Przewiduje się, że podejmowane w ramach „Aktualizacji Programu…” działania będą oddziaływały na zdrowie ludzi, szczególnie grupy ludności wrażliwych na przekroczenie, obejmujących osoby starsze i dzieci oraz na środowisko przyrodnicze wyłącznie w sposób pozytywny. Z założenia realizacja „Aktualizacji Programu…” ma wpłynąć na zachowanie ludności w sytuacjach zagrożenia, w celu ochrony zdrowia i życia, w związku </w:t>
      </w:r>
      <w:r w:rsidRPr="00CB52E5">
        <w:rPr>
          <w:rFonts w:eastAsia="Calibri"/>
          <w:kern w:val="0"/>
          <w14:ligatures w14:val="none"/>
        </w:rPr>
        <w:br/>
        <w:t>z tym nie można rozpatrywać ich wdrożenia w kontekście strat środowiskowych bądź negatywnych konsekwencji.</w:t>
      </w:r>
    </w:p>
    <w:p w14:paraId="67A1AEA6" w14:textId="77777777" w:rsidR="00CB52E5" w:rsidRPr="00CB52E5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„Aktualizacja Programu…” stanowić będzie zbiór wskazówek, kierunków działań, </w:t>
      </w:r>
      <w:r w:rsidRPr="00CB52E5">
        <w:rPr>
          <w:rFonts w:eastAsia="Calibri"/>
          <w:kern w:val="0"/>
          <w14:ligatures w14:val="none"/>
        </w:rPr>
        <w:br/>
        <w:t xml:space="preserve">o których nie można powiedzieć, że mają charakter obligatoryjny, zwłaszcza w kontekście nakładania na podmioty i osoby fizyczne ograniczeń, kar etc. Podkreślić należy, </w:t>
      </w:r>
      <w:r w:rsidRPr="00CB52E5">
        <w:rPr>
          <w:rFonts w:eastAsia="Calibri"/>
          <w:kern w:val="0"/>
          <w14:ligatures w14:val="none"/>
        </w:rPr>
        <w:br/>
        <w:t xml:space="preserve">że „Aktualizacja Programu…” nie będzie nakładała na organy administracji samorządowej obowiązków związanych z nakładaniem ograniczeń usytuowania, rodzaju czy skali </w:t>
      </w:r>
      <w:r w:rsidRPr="00CB52E5">
        <w:rPr>
          <w:rFonts w:eastAsia="Calibri"/>
          <w:kern w:val="0"/>
          <w14:ligatures w14:val="none"/>
        </w:rPr>
        <w:lastRenderedPageBreak/>
        <w:t>przedsięwzięć na danym terenie. Z uwagi na genezę przekroczeń, najczęściej są to działania nakierowane na wspieranie i zmobilizowanie ludności do stosowania się do zaleceń ochronnych ich zdrowia oraz kształtowanie postaw przyjaznych środowisku.</w:t>
      </w:r>
    </w:p>
    <w:p w14:paraId="7C30B359" w14:textId="3042626F" w:rsidR="00901F46" w:rsidRDefault="00CB52E5" w:rsidP="00CB52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CB52E5">
        <w:rPr>
          <w:rFonts w:eastAsia="Calibri"/>
          <w:kern w:val="0"/>
          <w14:ligatures w14:val="none"/>
        </w:rPr>
        <w:t xml:space="preserve">Realizacja „Aktualizacji Programu…” może przynieść wyłącznie pozytywny skutek. Ponadto działania ochronne dla grup ludności wrażliwych na przekroczenie, obejmujących </w:t>
      </w:r>
      <w:r w:rsidRPr="00CB52E5">
        <w:rPr>
          <w:rFonts w:eastAsia="Calibri"/>
          <w:kern w:val="0"/>
          <w14:ligatures w14:val="none"/>
        </w:rPr>
        <w:br/>
        <w:t xml:space="preserve">w szczególności osoby starsze i dzieci nie będą dotyczyć w sposób bezpośredni podmiotów, które będą lub realizują przedsięwzięcia mogące znacząco oddziaływać na środowisko. </w:t>
      </w:r>
    </w:p>
    <w:p w14:paraId="70299160" w14:textId="75E826FC" w:rsidR="005F61AB" w:rsidRPr="00CB52E5" w:rsidRDefault="005F61AB" w:rsidP="005F61AB">
      <w:pPr>
        <w:spacing w:after="0" w:line="360" w:lineRule="auto"/>
        <w:jc w:val="both"/>
        <w:rPr>
          <w:rFonts w:eastAsia="Calibri"/>
          <w:kern w:val="0"/>
          <w14:ligatures w14:val="none"/>
        </w:rPr>
      </w:pPr>
      <w:r w:rsidRPr="005F61AB">
        <w:rPr>
          <w:rFonts w:eastAsia="Calibri"/>
          <w:kern w:val="0"/>
          <w14:ligatures w14:val="none"/>
        </w:rPr>
        <w:t xml:space="preserve">Projekt „Aktualizacji Programu ochrony powietrza dla województwa świętokrzyskiego </w:t>
      </w:r>
      <w:r>
        <w:rPr>
          <w:rFonts w:eastAsia="Calibri"/>
          <w:kern w:val="0"/>
          <w14:ligatures w14:val="none"/>
        </w:rPr>
        <w:br/>
      </w:r>
      <w:r w:rsidRPr="005F61AB">
        <w:rPr>
          <w:rFonts w:eastAsia="Calibri"/>
          <w:kern w:val="0"/>
          <w14:ligatures w14:val="none"/>
        </w:rPr>
        <w:t xml:space="preserve">wraz z planem działań krótkoterminowych” został przyjęty przez Zarząd Województwa uchwałą Nr 7133/23 w dniu 24 maja 2023 r. w sprawie przyjęcia projektu „Aktualizacji Programu ochrony powietrza dla województwa świętokrzyskiego wraz z planem działań krótkoterminowych”. Dokument ten został przesłany do Regionalnego Dyrektora Ochrony Środowiska w Kielcach oraz Świętokrzyskiego Państwowego Wojewódzkiego Inspektora Sanitarnego w celu uzgodnienia odstąpienia od przeprowadzenia strategicznej oceny oddziaływania na środowisko projektu dokumentu. Regionalny Dyrektor Ochrony Środowiska w Kielcach pismem znak: WOO-III.410.21.2023.ML z dnia 27 czerwca 2023 r. uzgodnił odstąpienie od przeprowadzenia strategicznej oceny oddziaływania na środowisko </w:t>
      </w:r>
      <w:r>
        <w:rPr>
          <w:rFonts w:eastAsia="Calibri"/>
          <w:kern w:val="0"/>
          <w14:ligatures w14:val="none"/>
        </w:rPr>
        <w:br/>
      </w:r>
      <w:r w:rsidRPr="005F61AB">
        <w:rPr>
          <w:rFonts w:eastAsia="Calibri"/>
          <w:kern w:val="0"/>
          <w14:ligatures w14:val="none"/>
        </w:rPr>
        <w:t xml:space="preserve">dla ww. projektu dokumentu. Świętokrzyski Państwowy Wojewódzki Inspektor Sanitarny </w:t>
      </w:r>
      <w:r>
        <w:rPr>
          <w:rFonts w:eastAsia="Calibri"/>
          <w:kern w:val="0"/>
          <w14:ligatures w14:val="none"/>
        </w:rPr>
        <w:br/>
      </w:r>
      <w:r w:rsidRPr="005F61AB">
        <w:rPr>
          <w:rFonts w:eastAsia="Calibri"/>
          <w:kern w:val="0"/>
          <w14:ligatures w14:val="none"/>
        </w:rPr>
        <w:t xml:space="preserve">w piśmie znak: NZ.9022.5.65.2023 z dnia 5 czerwca 2023 r. uznał, iż w świetle obowiązujących przepisów brak jest podstaw prawnych do zajęcia stanowiska w sprawie, gdyż </w:t>
      </w:r>
      <w:r>
        <w:rPr>
          <w:rFonts w:eastAsia="Calibri"/>
          <w:kern w:val="0"/>
          <w14:ligatures w14:val="none"/>
        </w:rPr>
        <w:br/>
      </w:r>
      <w:r w:rsidRPr="005F61AB">
        <w:rPr>
          <w:rFonts w:eastAsia="Calibri"/>
          <w:kern w:val="0"/>
          <w14:ligatures w14:val="none"/>
        </w:rPr>
        <w:t xml:space="preserve">w przedmiotowym przypadku nie zachodzą przesłanki określone w art. 46 ust. 1 ustawy z dnia 3 października 2008r. o udostępnianiu informacji o środowisku i jego ochronie, udziale społeczeństwa w ochronie środowiska oraz o ocenach oddziaływania na środowisko, </w:t>
      </w:r>
      <w:r>
        <w:rPr>
          <w:rFonts w:eastAsia="Calibri"/>
          <w:kern w:val="0"/>
          <w14:ligatures w14:val="none"/>
        </w:rPr>
        <w:br/>
      </w:r>
      <w:r w:rsidRPr="005F61AB">
        <w:rPr>
          <w:rFonts w:eastAsia="Calibri"/>
          <w:kern w:val="0"/>
          <w14:ligatures w14:val="none"/>
        </w:rPr>
        <w:t>tj. dokument nie wyznacza ram dla późniejszej realizacji przedsięwzięć mogących znacząco oddziaływać na środowisko.</w:t>
      </w:r>
    </w:p>
    <w:sectPr w:rsidR="005F61AB" w:rsidRPr="00CB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0D65"/>
    <w:multiLevelType w:val="hybridMultilevel"/>
    <w:tmpl w:val="1884FEC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7CC48F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643063"/>
    <w:multiLevelType w:val="hybridMultilevel"/>
    <w:tmpl w:val="EE22491E"/>
    <w:lvl w:ilvl="0" w:tplc="87B82954">
      <w:start w:val="1"/>
      <w:numFmt w:val="decimal"/>
      <w:lvlText w:val="%1."/>
      <w:lvlJc w:val="left"/>
      <w:pPr>
        <w:ind w:left="2136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E1B7667"/>
    <w:multiLevelType w:val="hybridMultilevel"/>
    <w:tmpl w:val="9DDC9B9C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A935B3A"/>
    <w:multiLevelType w:val="hybridMultilevel"/>
    <w:tmpl w:val="53C413F6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2F24F21A">
      <w:numFmt w:val="bullet"/>
      <w:lvlText w:val="•"/>
      <w:lvlJc w:val="left"/>
      <w:pPr>
        <w:ind w:left="3141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BAE3DC8"/>
    <w:multiLevelType w:val="hybridMultilevel"/>
    <w:tmpl w:val="FA508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07541">
    <w:abstractNumId w:val="3"/>
  </w:num>
  <w:num w:numId="2" w16cid:durableId="1662923228">
    <w:abstractNumId w:val="2"/>
  </w:num>
  <w:num w:numId="3" w16cid:durableId="104618560">
    <w:abstractNumId w:val="1"/>
  </w:num>
  <w:num w:numId="4" w16cid:durableId="92409006">
    <w:abstractNumId w:val="0"/>
  </w:num>
  <w:num w:numId="5" w16cid:durableId="329137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5"/>
    <w:rsid w:val="00134B57"/>
    <w:rsid w:val="00221582"/>
    <w:rsid w:val="005F61AB"/>
    <w:rsid w:val="007C1FE4"/>
    <w:rsid w:val="00901F46"/>
    <w:rsid w:val="00B60B96"/>
    <w:rsid w:val="00B96FBF"/>
    <w:rsid w:val="00C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E27"/>
  <w15:chartTrackingRefBased/>
  <w15:docId w15:val="{49BFEC2F-D457-4652-840E-D7025D6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Hynek, Anna</dc:creator>
  <cp:keywords/>
  <dc:description/>
  <cp:lastModifiedBy>Bukała-Jachimkowska, Grażyna</cp:lastModifiedBy>
  <cp:revision>2</cp:revision>
  <dcterms:created xsi:type="dcterms:W3CDTF">2023-07-17T12:54:00Z</dcterms:created>
  <dcterms:modified xsi:type="dcterms:W3CDTF">2023-07-17T12:54:00Z</dcterms:modified>
</cp:coreProperties>
</file>