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C594" w14:textId="139E378F" w:rsidR="00CD7B60" w:rsidRPr="005C41E9" w:rsidRDefault="00CD7B60" w:rsidP="005C41E9">
      <w:pPr>
        <w:spacing w:line="276" w:lineRule="auto"/>
        <w:jc w:val="center"/>
        <w:rPr>
          <w:b/>
          <w:color w:val="000000" w:themeColor="text1"/>
        </w:rPr>
      </w:pPr>
      <w:r w:rsidRPr="005C41E9">
        <w:rPr>
          <w:b/>
          <w:color w:val="000000" w:themeColor="text1"/>
        </w:rPr>
        <w:t>INFORMACJA O PRZETWARZANIU DANYCH OSOBOWYCH</w:t>
      </w:r>
    </w:p>
    <w:p w14:paraId="254F615B" w14:textId="77777777" w:rsidR="00CD7B60" w:rsidRPr="005C41E9" w:rsidRDefault="00CD7B60" w:rsidP="005C41E9">
      <w:pPr>
        <w:spacing w:line="276" w:lineRule="auto"/>
        <w:jc w:val="both"/>
        <w:rPr>
          <w:b/>
          <w:color w:val="000000" w:themeColor="text1"/>
        </w:rPr>
      </w:pPr>
    </w:p>
    <w:p w14:paraId="1E559CE3" w14:textId="74BF717A" w:rsidR="00CD7B60" w:rsidRPr="005C41E9" w:rsidRDefault="00CD7B60" w:rsidP="005C41E9">
      <w:pPr>
        <w:shd w:val="clear" w:color="auto" w:fill="FFFFFF"/>
        <w:spacing w:line="276" w:lineRule="auto"/>
        <w:jc w:val="both"/>
        <w:rPr>
          <w:color w:val="000000" w:themeColor="text1"/>
        </w:rPr>
      </w:pPr>
      <w:r w:rsidRPr="005C41E9">
        <w:rPr>
          <w:color w:val="000000" w:themeColor="text1"/>
        </w:rPr>
        <w:t>Zgodnie z art. 13</w:t>
      </w:r>
      <w:r w:rsidR="00957A0B" w:rsidRPr="005C41E9">
        <w:rPr>
          <w:color w:val="000000" w:themeColor="text1"/>
        </w:rPr>
        <w:t xml:space="preserve"> i 14 </w:t>
      </w:r>
      <w:r w:rsidRPr="005C41E9"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</w:t>
      </w:r>
      <w:r w:rsidR="005F4C5D" w:rsidRPr="005C41E9">
        <w:br/>
      </w:r>
      <w:r w:rsidRPr="005C41E9">
        <w:t xml:space="preserve">z </w:t>
      </w:r>
      <w:proofErr w:type="spellStart"/>
      <w:r w:rsidRPr="005C41E9">
        <w:t>późn</w:t>
      </w:r>
      <w:proofErr w:type="spellEnd"/>
      <w:r w:rsidRPr="005C41E9">
        <w:t xml:space="preserve">. zm.), </w:t>
      </w:r>
      <w:r w:rsidRPr="005C41E9">
        <w:rPr>
          <w:color w:val="000000" w:themeColor="text1"/>
        </w:rPr>
        <w:t xml:space="preserve">zwanego dalej „RODO”,  informuje się, iż: </w:t>
      </w:r>
    </w:p>
    <w:p w14:paraId="6D5C518A" w14:textId="33427493" w:rsidR="00CD7B60" w:rsidRPr="005C41E9" w:rsidRDefault="00CD7B60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5C41E9">
        <w:rPr>
          <w:color w:val="000000" w:themeColor="text1"/>
        </w:rPr>
        <w:t xml:space="preserve">Administratorem Pani/Pana danych osobowych jest Marszałek Województwa Świętokrzyskiego z siedzibą w Kielcach,  al. IX Wieków Kielc 3, 25-516, Kielce, tel.: 41/395-16-60, fax: 41/395-16-79, e-mail: </w:t>
      </w:r>
      <w:hyperlink r:id="rId5" w:history="1">
        <w:r w:rsidRPr="005C41E9">
          <w:rPr>
            <w:rStyle w:val="Hipercze"/>
            <w:rFonts w:eastAsiaTheme="majorEastAsia"/>
            <w:color w:val="0070C0"/>
          </w:rPr>
          <w:t>urzad.marszalkowski@sejmik.kielce.pl</w:t>
        </w:r>
      </w:hyperlink>
    </w:p>
    <w:p w14:paraId="0A07D8DA" w14:textId="5F843118" w:rsidR="00CD7B60" w:rsidRPr="005C41E9" w:rsidRDefault="00CD7B60" w:rsidP="005C41E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</w:rPr>
      </w:pPr>
      <w:r w:rsidRPr="005C41E9">
        <w:rPr>
          <w:color w:val="000000" w:themeColor="text1"/>
        </w:rPr>
        <w:t xml:space="preserve">Wyznaczono Inspektora Ochrony Danych, z którym można skontaktować się we wszystkich sprawach dotyczących przetwarzania Pani/Pana danych osobowych oraz korzystania z praw związanych z przetwarzaniem danych osobowych e-mailem: </w:t>
      </w:r>
      <w:hyperlink r:id="rId6" w:history="1">
        <w:r w:rsidRPr="005C41E9">
          <w:rPr>
            <w:color w:val="000000" w:themeColor="text1"/>
          </w:rPr>
          <w:t>iod@sejmik.kielce.pl</w:t>
        </w:r>
      </w:hyperlink>
      <w:r w:rsidRPr="005C41E9">
        <w:t xml:space="preserve"> </w:t>
      </w:r>
      <w:r w:rsidRPr="005C41E9">
        <w:rPr>
          <w:color w:val="000000" w:themeColor="text1"/>
        </w:rPr>
        <w:t xml:space="preserve">lub pisemnie na adres: Inspektor Ochrony Danych, Urząd Marszałkowski Województwa Świętokrzyskiego w Kielcach, al. IX Wieków Kielc 3, 25-516 Kielce, bądź telefonicznie: </w:t>
      </w:r>
      <w:r w:rsidRPr="005C41E9">
        <w:rPr>
          <w:color w:val="000000" w:themeColor="text1"/>
        </w:rPr>
        <w:br/>
        <w:t>41 395-15-18, 41 395-11-06.</w:t>
      </w:r>
    </w:p>
    <w:p w14:paraId="05FCFA55" w14:textId="235ADE2F" w:rsidR="004B71F1" w:rsidRPr="005C41E9" w:rsidRDefault="00CD7B60" w:rsidP="005C41E9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color w:val="000000" w:themeColor="text1"/>
        </w:rPr>
      </w:pPr>
      <w:r w:rsidRPr="005C41E9">
        <w:rPr>
          <w:color w:val="000000" w:themeColor="text1"/>
        </w:rPr>
        <w:t xml:space="preserve">Pani/Pana dane osobowe </w:t>
      </w:r>
      <w:r w:rsidR="002E4C4B" w:rsidRPr="005C41E9">
        <w:rPr>
          <w:color w:val="000000" w:themeColor="text1"/>
        </w:rPr>
        <w:t xml:space="preserve">są </w:t>
      </w:r>
      <w:r w:rsidRPr="005C41E9">
        <w:rPr>
          <w:color w:val="000000" w:themeColor="text1"/>
        </w:rPr>
        <w:t xml:space="preserve">przetwarzane na podstawie: </w:t>
      </w:r>
    </w:p>
    <w:p w14:paraId="030144D5" w14:textId="72C5B415" w:rsidR="00CD7B60" w:rsidRPr="00C81968" w:rsidRDefault="00CD7B60" w:rsidP="005C41E9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color w:val="000000" w:themeColor="text1"/>
        </w:rPr>
      </w:pPr>
      <w:r w:rsidRPr="00C81968">
        <w:rPr>
          <w:color w:val="000000" w:themeColor="text1"/>
        </w:rPr>
        <w:t>art. 6 ust. 1 lit. c RODO w z</w:t>
      </w:r>
      <w:r w:rsidR="002E4C4B" w:rsidRPr="00C81968">
        <w:rPr>
          <w:color w:val="000000" w:themeColor="text1"/>
        </w:rPr>
        <w:t>w.</w:t>
      </w:r>
      <w:r w:rsidRPr="00C81968">
        <w:rPr>
          <w:color w:val="000000" w:themeColor="text1"/>
        </w:rPr>
        <w:t xml:space="preserve"> z </w:t>
      </w:r>
      <w:r w:rsidR="00BB1634" w:rsidRPr="00C81968">
        <w:rPr>
          <w:color w:val="000000" w:themeColor="text1"/>
        </w:rPr>
        <w:t xml:space="preserve">art. </w:t>
      </w:r>
      <w:r w:rsidR="00135BF2" w:rsidRPr="00C81968">
        <w:rPr>
          <w:color w:val="000000" w:themeColor="text1"/>
        </w:rPr>
        <w:t>10d  ustawy z dnia 5 czerwca 1998 r. o samorządzie województwa</w:t>
      </w:r>
      <w:r w:rsidR="00D2158B" w:rsidRPr="00C81968">
        <w:rPr>
          <w:color w:val="000000" w:themeColor="text1"/>
        </w:rPr>
        <w:t xml:space="preserve"> (Dz. U. z 2026 r. poz. 720)</w:t>
      </w:r>
      <w:r w:rsidR="006C00A0" w:rsidRPr="00C81968">
        <w:rPr>
          <w:color w:val="000000" w:themeColor="text1"/>
        </w:rPr>
        <w:t xml:space="preserve">, art. 5 ust. 5, art. 12 ust. 2 i 3 oraz </w:t>
      </w:r>
      <w:r w:rsidR="00D2158B" w:rsidRPr="00C81968">
        <w:rPr>
          <w:color w:val="000000" w:themeColor="text1"/>
        </w:rPr>
        <w:t xml:space="preserve">art. 16 ustawy z dnia 27 lutego 2026 r. o wojewódzkich zespołach koordynacji do spraw polityki umiejętności (Dz. U. poz. 451), </w:t>
      </w:r>
      <w:r w:rsidR="006C00A0" w:rsidRPr="00C81968">
        <w:rPr>
          <w:color w:val="000000" w:themeColor="text1"/>
        </w:rPr>
        <w:t xml:space="preserve">a także </w:t>
      </w:r>
      <w:r w:rsidR="00D2158B" w:rsidRPr="00C81968">
        <w:rPr>
          <w:color w:val="000000" w:themeColor="text1"/>
        </w:rPr>
        <w:t>art. 11 i art. 372 ustawy z dnia 20 lipca 2018 r. – Prawo o szkolnictwie wyższym i nauce (Dz. U. z 2024 r. poz. 1571</w:t>
      </w:r>
      <w:r w:rsidR="006C00A0" w:rsidRPr="00C81968">
        <w:rPr>
          <w:color w:val="000000" w:themeColor="text1"/>
        </w:rPr>
        <w:t xml:space="preserve"> </w:t>
      </w:r>
      <w:r w:rsidR="00D2158B" w:rsidRPr="00C81968">
        <w:rPr>
          <w:color w:val="000000" w:themeColor="text1"/>
        </w:rPr>
        <w:t xml:space="preserve">z </w:t>
      </w:r>
      <w:proofErr w:type="spellStart"/>
      <w:r w:rsidR="00D2158B" w:rsidRPr="00C81968">
        <w:rPr>
          <w:color w:val="000000" w:themeColor="text1"/>
        </w:rPr>
        <w:t>późn</w:t>
      </w:r>
      <w:proofErr w:type="spellEnd"/>
      <w:r w:rsidR="00D2158B" w:rsidRPr="00C81968">
        <w:rPr>
          <w:color w:val="000000" w:themeColor="text1"/>
        </w:rPr>
        <w:t>. zm.)</w:t>
      </w:r>
      <w:r w:rsidR="006C00A0" w:rsidRPr="00C81968">
        <w:rPr>
          <w:color w:val="000000" w:themeColor="text1"/>
        </w:rPr>
        <w:t xml:space="preserve"> -</w:t>
      </w:r>
      <w:r w:rsidR="00D2158B" w:rsidRPr="00C81968">
        <w:rPr>
          <w:color w:val="000000" w:themeColor="text1"/>
        </w:rPr>
        <w:t xml:space="preserve"> </w:t>
      </w:r>
      <w:r w:rsidR="00C458AF" w:rsidRPr="00C81968">
        <w:rPr>
          <w:color w:val="000000" w:themeColor="text1"/>
        </w:rPr>
        <w:t>w celu</w:t>
      </w:r>
      <w:r w:rsidR="004E3ADA" w:rsidRPr="00C81968">
        <w:rPr>
          <w:color w:val="000000" w:themeColor="text1"/>
        </w:rPr>
        <w:t xml:space="preserve"> </w:t>
      </w:r>
      <w:r w:rsidR="00C81968" w:rsidRPr="00C81968">
        <w:rPr>
          <w:color w:val="000000" w:themeColor="text1"/>
        </w:rPr>
        <w:t>realizacji zadań związanych z funkcjonowaniem Wojewódzkiego Zespołu Koordynacji (WZK) w zakresie rozwoju umiejętności mieszkańców oraz promowania uczenia się przez całe życie, w tym kształcenia i szkolenia zawodowego</w:t>
      </w:r>
      <w:r w:rsidR="00FA3A1D">
        <w:rPr>
          <w:color w:val="000000" w:themeColor="text1"/>
        </w:rPr>
        <w:t>;</w:t>
      </w:r>
    </w:p>
    <w:p w14:paraId="6A18ACC0" w14:textId="30F8D3A9" w:rsidR="006C00A0" w:rsidRPr="005C41E9" w:rsidRDefault="006C00A0" w:rsidP="005C41E9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 w:themeColor="text1"/>
        </w:rPr>
      </w:pPr>
      <w:r w:rsidRPr="005C41E9">
        <w:rPr>
          <w:color w:val="000000" w:themeColor="text1"/>
        </w:rPr>
        <w:t xml:space="preserve">art. 6 ust. 1 lit. c RODO w związku z ustawą z dnia 14 lipca 1983 r. o narodowym zasobie archiwalnym i archiwach (Dz. U. z 2020 r. poz. 164, z </w:t>
      </w:r>
      <w:proofErr w:type="spellStart"/>
      <w:r w:rsidRPr="005C41E9">
        <w:rPr>
          <w:color w:val="000000" w:themeColor="text1"/>
        </w:rPr>
        <w:t>późn</w:t>
      </w:r>
      <w:proofErr w:type="spellEnd"/>
      <w:r w:rsidRPr="005C41E9">
        <w:rPr>
          <w:color w:val="000000" w:themeColor="text1"/>
        </w:rPr>
        <w:t xml:space="preserve">. zm.) </w:t>
      </w:r>
      <w:r w:rsidR="00125069" w:rsidRPr="005C41E9">
        <w:rPr>
          <w:color w:val="000000" w:themeColor="text1"/>
        </w:rPr>
        <w:t xml:space="preserve">- </w:t>
      </w:r>
      <w:r w:rsidR="00957A0B" w:rsidRPr="005C41E9">
        <w:rPr>
          <w:color w:val="000000" w:themeColor="text1"/>
        </w:rPr>
        <w:t>w celu archiwizacji dokumentacji;</w:t>
      </w:r>
    </w:p>
    <w:p w14:paraId="27BC0C8E" w14:textId="77777777" w:rsidR="00FD2CCF" w:rsidRPr="00D53B52" w:rsidRDefault="00BB1634" w:rsidP="005C41E9">
      <w:pPr>
        <w:pStyle w:val="Akapitzlist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76" w:lineRule="auto"/>
        <w:contextualSpacing w:val="0"/>
        <w:jc w:val="both"/>
      </w:pPr>
      <w:r w:rsidRPr="00D53B52">
        <w:t>art. 6 ust. 1 lit. a RODO</w:t>
      </w:r>
      <w:r w:rsidR="00957A0B" w:rsidRPr="00D53B52">
        <w:t xml:space="preserve"> – </w:t>
      </w:r>
      <w:r w:rsidR="00603D62" w:rsidRPr="00D53B52">
        <w:t>na podstawie wyrażonej przez Panią/Pana zgody</w:t>
      </w:r>
      <w:r w:rsidR="00FD2CCF" w:rsidRPr="00D53B52">
        <w:t xml:space="preserve">: </w:t>
      </w:r>
    </w:p>
    <w:p w14:paraId="0DF7A30B" w14:textId="77777777" w:rsidR="000764BF" w:rsidRDefault="00FD2CCF" w:rsidP="000764BF">
      <w:pPr>
        <w:pStyle w:val="Akapitzlist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D53B52">
        <w:t xml:space="preserve">w zakresie informacji o wiedzy i doświadczeniu – w celu </w:t>
      </w:r>
      <w:r w:rsidRPr="000764BF">
        <w:rPr>
          <w:sz w:val="22"/>
          <w:szCs w:val="22"/>
        </w:rPr>
        <w:t>tworzenia grup roboczych, kierowania materiałów do konsultacji oraz angażowania członków  w prace odpowiadające ich wiedzy i doświadczeniu</w:t>
      </w:r>
      <w:r w:rsidRPr="00D53B52">
        <w:t>;</w:t>
      </w:r>
    </w:p>
    <w:p w14:paraId="694822AF" w14:textId="3E5CECDD" w:rsidR="00FA3A1D" w:rsidRPr="00D53B52" w:rsidRDefault="00FD2CCF" w:rsidP="000764BF">
      <w:pPr>
        <w:pStyle w:val="Akapitzlist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D53B52">
        <w:t xml:space="preserve">w zakresie wizerunku – w celach informacyjno-promocyjnych, w szczególności poprzez publikację zdjęć z posiedzeń WZK na stronie internetowej urzędu oraz </w:t>
      </w:r>
      <w:r w:rsidR="00FA3A1D" w:rsidRPr="00D53B52">
        <w:br/>
      </w:r>
      <w:r w:rsidRPr="00D53B52">
        <w:t>w mediach społecznościowych.</w:t>
      </w:r>
      <w:r w:rsidR="00FA3A1D" w:rsidRPr="00D53B52">
        <w:t xml:space="preserve"> </w:t>
      </w:r>
    </w:p>
    <w:p w14:paraId="2725C2D7" w14:textId="7F21A88A" w:rsidR="004E3ADA" w:rsidRPr="00FA3A1D" w:rsidRDefault="002E1B1F" w:rsidP="00FA3A1D">
      <w:pPr>
        <w:pStyle w:val="Akapitzlist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 w:themeColor="text1"/>
        </w:rPr>
      </w:pPr>
      <w:r w:rsidRPr="00FA3A1D">
        <w:rPr>
          <w:rFonts w:eastAsia="Times New Roman"/>
          <w:color w:val="000000" w:themeColor="text1"/>
          <w:lang w:eastAsia="pl-PL"/>
        </w:rPr>
        <w:t>W przypadku pośredniego pozyskania danych osobowych</w:t>
      </w:r>
      <w:r w:rsidR="00FA3A1D">
        <w:rPr>
          <w:rFonts w:eastAsia="Times New Roman"/>
          <w:color w:val="000000" w:themeColor="text1"/>
          <w:lang w:eastAsia="pl-PL"/>
        </w:rPr>
        <w:t xml:space="preserve"> </w:t>
      </w:r>
      <w:r w:rsidRPr="00FA3A1D">
        <w:rPr>
          <w:rFonts w:eastAsia="Times New Roman"/>
          <w:color w:val="000000" w:themeColor="text1"/>
          <w:lang w:eastAsia="pl-PL"/>
        </w:rPr>
        <w:t xml:space="preserve">Administrator przetwarza dane osób, o których mowa w art. 4 ust. 3 ustawy o wojewódzkich zespołach koordynacji do spraw polityki umiejętności, w zakresie określonym w art. 7 ust. 3 tej ustawy, zaproszonych do udziału w posiedzeniu WZK, a dane te pozyskiwane są od podmiotów zgłaszających lub instytucji delegujących swoich przedstawicieli. </w:t>
      </w:r>
    </w:p>
    <w:p w14:paraId="5E946349" w14:textId="3925CD25" w:rsidR="00957A0B" w:rsidRPr="004A464C" w:rsidRDefault="00957A0B" w:rsidP="005C41E9">
      <w:pPr>
        <w:pStyle w:val="Akapitzlist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4A464C">
        <w:rPr>
          <w:rFonts w:eastAsia="Times New Roman"/>
          <w:color w:val="000000" w:themeColor="text1"/>
          <w:lang w:eastAsia="pl-PL"/>
        </w:rPr>
        <w:t>Odbiorcami Pani/Pana danych osobowych będą osoby upoważnione przez Administratora, podmioty uprawnione do uzyskania danych osobowych na podstawie przepisów prawa,</w:t>
      </w:r>
      <w:r w:rsidRPr="004A464C">
        <w:rPr>
          <w:color w:val="000000" w:themeColor="text1"/>
        </w:rPr>
        <w:t xml:space="preserve"> dostawcy usług pocztowych, kurierskich lub informatycznych. Ponadto, w zakresie stanowiącym informację publiczną Pani/Pana dane osobowe będą ujawniane każdemu </w:t>
      </w:r>
      <w:r w:rsidRPr="004A464C">
        <w:rPr>
          <w:color w:val="000000" w:themeColor="text1"/>
        </w:rPr>
        <w:lastRenderedPageBreak/>
        <w:t xml:space="preserve">zainteresowanemu taką informacją lub publikowane w </w:t>
      </w:r>
      <w:r w:rsidR="004E3ADA" w:rsidRPr="004A464C">
        <w:rPr>
          <w:color w:val="000000" w:themeColor="text1"/>
        </w:rPr>
        <w:t>Biuletynie</w:t>
      </w:r>
      <w:r w:rsidRPr="004A464C">
        <w:rPr>
          <w:color w:val="000000" w:themeColor="text1"/>
        </w:rPr>
        <w:t xml:space="preserve"> Informacji Publicznej Urzędu Marszałkowskiego Województwa Świętokrzyskiego</w:t>
      </w:r>
      <w:r w:rsidR="00617A56" w:rsidRPr="004A464C">
        <w:rPr>
          <w:color w:val="000000" w:themeColor="text1"/>
        </w:rPr>
        <w:t xml:space="preserve"> oraz na stronie internetowej Województwa Świętokrzyskiego. </w:t>
      </w:r>
    </w:p>
    <w:p w14:paraId="13771A12" w14:textId="77777777" w:rsidR="00957A0B" w:rsidRPr="004A464C" w:rsidRDefault="00957A0B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4A464C">
        <w:rPr>
          <w:bCs/>
          <w:color w:val="000000" w:themeColor="text1"/>
        </w:rPr>
        <w:t>Pani/Pana dane osobowe nie będą przekazywane do państwa trzeciego ani do organizacji międzynarodowej.</w:t>
      </w:r>
    </w:p>
    <w:p w14:paraId="18FF444D" w14:textId="3DA67064" w:rsidR="00957A0B" w:rsidRPr="004A464C" w:rsidRDefault="00957A0B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4A464C">
        <w:rPr>
          <w:color w:val="000000" w:themeColor="text1"/>
        </w:rPr>
        <w:t xml:space="preserve">Pani/Pana dane osobowe będą przechowywane </w:t>
      </w:r>
      <w:r w:rsidRPr="004A464C">
        <w:rPr>
          <w:rFonts w:eastAsia="Calibri"/>
          <w:color w:val="000000" w:themeColor="text1"/>
        </w:rPr>
        <w:t xml:space="preserve">przez okres niezbędny do realizacji ww. celów, tj. </w:t>
      </w:r>
      <w:r w:rsidRPr="004A464C">
        <w:rPr>
          <w:color w:val="000000" w:themeColor="text1"/>
        </w:rPr>
        <w:t>przez okres 6 lat, licząc od dnia powołania członka w skład WZK</w:t>
      </w:r>
      <w:r w:rsidR="00E56771" w:rsidRPr="004A464C">
        <w:rPr>
          <w:color w:val="000000" w:themeColor="text1"/>
        </w:rPr>
        <w:t>, a w</w:t>
      </w:r>
      <w:r w:rsidRPr="004A464C">
        <w:rPr>
          <w:color w:val="000000" w:themeColor="text1"/>
        </w:rPr>
        <w:t xml:space="preserve"> przypadku osób</w:t>
      </w:r>
      <w:r w:rsidR="00E56771" w:rsidRPr="004A464C">
        <w:rPr>
          <w:color w:val="000000" w:themeColor="text1"/>
        </w:rPr>
        <w:t xml:space="preserve"> zaproszonych do udziału w posiedzeniu WZK, </w:t>
      </w:r>
      <w:r w:rsidR="00922C92" w:rsidRPr="004A464C">
        <w:rPr>
          <w:color w:val="000000" w:themeColor="text1"/>
        </w:rPr>
        <w:t>przez okres</w:t>
      </w:r>
      <w:r w:rsidR="00E56771" w:rsidRPr="004A464C">
        <w:rPr>
          <w:color w:val="000000" w:themeColor="text1"/>
        </w:rPr>
        <w:t xml:space="preserve"> 6 lat, licząc od dnia posiedzenia WZK, w którym osoby te wzięły udział</w:t>
      </w:r>
      <w:r w:rsidR="007B3726" w:rsidRPr="004A464C">
        <w:rPr>
          <w:color w:val="000000" w:themeColor="text1"/>
        </w:rPr>
        <w:t>.  Dane przetwarzane na podstawie zgody będą przechowywane do</w:t>
      </w:r>
      <w:r w:rsidR="005C5C04" w:rsidRPr="004A464C">
        <w:rPr>
          <w:color w:val="000000" w:themeColor="text1"/>
        </w:rPr>
        <w:t xml:space="preserve"> czasu realizacji celów określonych powyżej lub do</w:t>
      </w:r>
      <w:r w:rsidR="007B3726" w:rsidRPr="004A464C">
        <w:rPr>
          <w:color w:val="000000" w:themeColor="text1"/>
        </w:rPr>
        <w:t xml:space="preserve"> momentu wycofania zgody</w:t>
      </w:r>
      <w:r w:rsidR="005C5C04" w:rsidRPr="004A464C">
        <w:rPr>
          <w:color w:val="000000" w:themeColor="text1"/>
        </w:rPr>
        <w:t xml:space="preserve">. Po </w:t>
      </w:r>
      <w:r w:rsidR="007B3726" w:rsidRPr="004A464C">
        <w:rPr>
          <w:color w:val="000000" w:themeColor="text1"/>
        </w:rPr>
        <w:t xml:space="preserve">upływie powyższych terminów dane </w:t>
      </w:r>
      <w:r w:rsidR="005C5C04" w:rsidRPr="004A464C">
        <w:rPr>
          <w:color w:val="000000" w:themeColor="text1"/>
        </w:rPr>
        <w:t xml:space="preserve">osobowe </w:t>
      </w:r>
      <w:r w:rsidR="007B3726" w:rsidRPr="004A464C">
        <w:rPr>
          <w:color w:val="000000" w:themeColor="text1"/>
        </w:rPr>
        <w:t xml:space="preserve">będą archiwizowane zgodnie z obowiązującymi przepisami prawa dotyczącymi archiwizacji. </w:t>
      </w:r>
    </w:p>
    <w:p w14:paraId="0135E0A1" w14:textId="4C53D8B8" w:rsidR="005F4C5D" w:rsidRPr="004A464C" w:rsidRDefault="007B3726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4A464C">
        <w:rPr>
          <w:bCs/>
          <w:color w:val="000000" w:themeColor="text1"/>
        </w:rPr>
        <w:t xml:space="preserve">Przysługuje Pani/Panu od Administratora: </w:t>
      </w:r>
      <w:r w:rsidRPr="004A464C">
        <w:rPr>
          <w:color w:val="000000" w:themeColor="text1"/>
          <w:lang w:eastAsia="pl-PL"/>
        </w:rPr>
        <w:t xml:space="preserve">prawo dostępu do treści danych osobowych </w:t>
      </w:r>
      <w:r w:rsidRPr="004A464C">
        <w:rPr>
          <w:color w:val="000000" w:themeColor="text1"/>
          <w:lang w:eastAsia="pl-PL"/>
        </w:rPr>
        <w:br/>
        <w:t xml:space="preserve">i uzyskania ich kopii (art. 15 RODO), prawo do sprostowania danych (art. 16 RODO), </w:t>
      </w:r>
      <w:r w:rsidRPr="004A464C">
        <w:rPr>
          <w:rFonts w:eastAsia="Times New Roman"/>
          <w:color w:val="000000" w:themeColor="text1"/>
          <w:lang w:eastAsia="pl-PL"/>
        </w:rPr>
        <w:t>prawo do ograniczenia przetwarzania danych (art. 18 RODO</w:t>
      </w:r>
      <w:r w:rsidR="00085B66" w:rsidRPr="004A464C">
        <w:rPr>
          <w:color w:val="000000" w:themeColor="text1"/>
          <w:lang w:eastAsia="pl-PL"/>
        </w:rPr>
        <w:t xml:space="preserve">), prawo do bycia </w:t>
      </w:r>
      <w:r w:rsidR="00922C92" w:rsidRPr="004A464C">
        <w:rPr>
          <w:color w:val="000000" w:themeColor="text1"/>
          <w:lang w:eastAsia="pl-PL"/>
        </w:rPr>
        <w:t xml:space="preserve">zapomnianym,  </w:t>
      </w:r>
      <w:r w:rsidR="00C81968" w:rsidRPr="004A464C">
        <w:rPr>
          <w:color w:val="000000" w:themeColor="text1"/>
          <w:lang w:eastAsia="pl-PL"/>
        </w:rPr>
        <w:t xml:space="preserve">                   </w:t>
      </w:r>
      <w:r w:rsidR="00085B66" w:rsidRPr="004A464C">
        <w:rPr>
          <w:color w:val="000000" w:themeColor="text1"/>
          <w:lang w:eastAsia="pl-PL"/>
        </w:rPr>
        <w:t>z zastrzeżeniem wyjątków wynikających z tego przepisu prawa (art. 17 RODO</w:t>
      </w:r>
      <w:r w:rsidRPr="004A464C">
        <w:rPr>
          <w:rFonts w:eastAsia="Times New Roman"/>
          <w:color w:val="000000" w:themeColor="text1"/>
          <w:lang w:eastAsia="pl-PL"/>
        </w:rPr>
        <w:t>)</w:t>
      </w:r>
      <w:r w:rsidR="00085B66" w:rsidRPr="004A464C">
        <w:rPr>
          <w:rFonts w:eastAsia="Times New Roman"/>
          <w:color w:val="000000" w:themeColor="text1"/>
          <w:lang w:eastAsia="pl-PL"/>
        </w:rPr>
        <w:t xml:space="preserve"> oraz prawo do przenoszenia danych (art. 20 RODO). </w:t>
      </w:r>
      <w:r w:rsidRPr="004A464C">
        <w:rPr>
          <w:color w:val="000000" w:themeColor="text1"/>
        </w:rPr>
        <w:t>W przypadku, gdy przetwarzanie odbywa się na podstawie wyrażonej przez Panią/Pana zgody, tj. art. 6 ust. 1 lit. a RODO, przysługuje Pani/Panu</w:t>
      </w:r>
      <w:r w:rsidR="00085B66" w:rsidRPr="004A464C">
        <w:rPr>
          <w:color w:val="000000" w:themeColor="text1"/>
        </w:rPr>
        <w:t xml:space="preserve"> </w:t>
      </w:r>
      <w:r w:rsidRPr="004A464C">
        <w:rPr>
          <w:rFonts w:eastAsia="Times New Roman"/>
          <w:color w:val="000000" w:themeColor="text1"/>
          <w:lang w:eastAsia="pl-PL"/>
        </w:rPr>
        <w:t>także</w:t>
      </w:r>
      <w:r w:rsidRPr="004A464C">
        <w:rPr>
          <w:color w:val="000000" w:themeColor="text1"/>
        </w:rPr>
        <w:t xml:space="preserve"> prawo do cofnięcia tej zgody w dowolnym momencie bez wpływu na zgodność z prawem przetwarzania, którego dokonano na podstawie zgody przed jej cofnięciem.</w:t>
      </w:r>
      <w:r w:rsidR="00126E64" w:rsidRPr="004A464C">
        <w:rPr>
          <w:color w:val="000000" w:themeColor="text1"/>
        </w:rPr>
        <w:t xml:space="preserve"> </w:t>
      </w:r>
    </w:p>
    <w:p w14:paraId="41C208D4" w14:textId="1F6C27FD" w:rsidR="00957A0B" w:rsidRPr="004A464C" w:rsidRDefault="005F4C5D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4A464C">
        <w:rPr>
          <w:color w:val="000000" w:themeColor="text1"/>
        </w:rPr>
        <w:t>Ma Pani/Pan prawo do wniesienia skargi z art. 77 RODO do organu nadzorczego, tj. Prezesa Urzędu Ochrony Danych Osobowych z siedzibą w Warszawie, gdy uzna Pani/Pan, że przetwarzanie danych osobowych Pani/Pana dotyczących narusza przepisy RODO.</w:t>
      </w:r>
    </w:p>
    <w:p w14:paraId="6715815F" w14:textId="4294094E" w:rsidR="005F4C5D" w:rsidRPr="004A464C" w:rsidRDefault="005F4C5D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4A464C">
        <w:rPr>
          <w:rFonts w:eastAsia="Times New Roman"/>
          <w:color w:val="000000" w:themeColor="text1"/>
          <w:lang w:eastAsia="pl-PL"/>
        </w:rPr>
        <w:t xml:space="preserve">Podanie danych osobowych w zakresie niezbędnym do realizacji zadań WZK jest obowiązkowe i wynika z przepisów prawa, a konsekwencją ich niepodania będzie brak możliwości pełnienia funkcji członka </w:t>
      </w:r>
      <w:r w:rsidR="00E52484" w:rsidRPr="004A464C">
        <w:rPr>
          <w:rFonts w:eastAsia="Times New Roman"/>
          <w:color w:val="000000" w:themeColor="text1"/>
          <w:lang w:eastAsia="pl-PL"/>
        </w:rPr>
        <w:t xml:space="preserve">zespołu </w:t>
      </w:r>
      <w:r w:rsidRPr="004A464C">
        <w:rPr>
          <w:rFonts w:eastAsia="Times New Roman"/>
          <w:color w:val="000000" w:themeColor="text1"/>
          <w:lang w:eastAsia="pl-PL"/>
        </w:rPr>
        <w:t xml:space="preserve">lub uczestnictwa w pracach zespołu. </w:t>
      </w:r>
      <w:r w:rsidR="00E52484" w:rsidRPr="004A464C">
        <w:rPr>
          <w:rFonts w:eastAsia="Times New Roman"/>
          <w:color w:val="000000" w:themeColor="text1"/>
          <w:lang w:eastAsia="pl-PL"/>
        </w:rPr>
        <w:br/>
      </w:r>
      <w:r w:rsidRPr="004A464C">
        <w:rPr>
          <w:rFonts w:eastAsia="Times New Roman"/>
          <w:color w:val="000000" w:themeColor="text1"/>
          <w:lang w:eastAsia="pl-PL"/>
        </w:rPr>
        <w:t>W przypadku danych przetwarzanych na podstawie zgody, w tym Pani/Pana wizerunku, ich podanie jest dobrowolne, a odmowa lub wycofanie zgody nie wpływa negatywnie na Pani/Pana członkostwo w WZK.</w:t>
      </w:r>
    </w:p>
    <w:p w14:paraId="3932CA9C" w14:textId="1CCC5385" w:rsidR="005F4C5D" w:rsidRPr="004A464C" w:rsidRDefault="005F4C5D" w:rsidP="005C41E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4A464C">
        <w:rPr>
          <w:color w:val="000000" w:themeColor="text1"/>
        </w:rPr>
        <w:t xml:space="preserve">Pani/Pana dane osobowe nie podlegają zautomatyzowanemu podejmowaniu </w:t>
      </w:r>
      <w:r w:rsidR="00FC17B9" w:rsidRPr="004A464C">
        <w:rPr>
          <w:color w:val="000000" w:themeColor="text1"/>
        </w:rPr>
        <w:t xml:space="preserve">decyzji, </w:t>
      </w:r>
      <w:r w:rsidR="000764BF" w:rsidRPr="004A464C">
        <w:rPr>
          <w:color w:val="000000" w:themeColor="text1"/>
        </w:rPr>
        <w:br/>
      </w:r>
      <w:r w:rsidRPr="004A464C">
        <w:rPr>
          <w:color w:val="000000" w:themeColor="text1"/>
        </w:rPr>
        <w:t>w tym również profilowaniu, o którym mowa w art. 22 ust. 1 i 4 RODO.</w:t>
      </w:r>
    </w:p>
    <w:p w14:paraId="4416D527" w14:textId="77777777" w:rsidR="006749FF" w:rsidRPr="004A464C" w:rsidRDefault="006749FF" w:rsidP="006749FF">
      <w:pPr>
        <w:spacing w:line="276" w:lineRule="auto"/>
        <w:jc w:val="both"/>
        <w:rPr>
          <w:color w:val="000000" w:themeColor="text1"/>
        </w:rPr>
      </w:pPr>
    </w:p>
    <w:sectPr w:rsidR="006749FF" w:rsidRPr="004A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4F4F"/>
    <w:multiLevelType w:val="hybridMultilevel"/>
    <w:tmpl w:val="6F7A2328"/>
    <w:lvl w:ilvl="0" w:tplc="D5C8FE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406CF1"/>
    <w:multiLevelType w:val="hybridMultilevel"/>
    <w:tmpl w:val="6944CCC2"/>
    <w:lvl w:ilvl="0" w:tplc="E0B662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B11C3B"/>
    <w:multiLevelType w:val="hybridMultilevel"/>
    <w:tmpl w:val="0BFC1428"/>
    <w:lvl w:ilvl="0" w:tplc="A01CCB8A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CE0"/>
    <w:multiLevelType w:val="hybridMultilevel"/>
    <w:tmpl w:val="DD2A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6FF5"/>
    <w:multiLevelType w:val="hybridMultilevel"/>
    <w:tmpl w:val="0BFC1428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37500"/>
    <w:multiLevelType w:val="hybridMultilevel"/>
    <w:tmpl w:val="0BFC1428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24721"/>
    <w:multiLevelType w:val="hybridMultilevel"/>
    <w:tmpl w:val="0BFC1428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6439">
    <w:abstractNumId w:val="3"/>
  </w:num>
  <w:num w:numId="2" w16cid:durableId="695421752">
    <w:abstractNumId w:val="0"/>
  </w:num>
  <w:num w:numId="3" w16cid:durableId="1877546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719385">
    <w:abstractNumId w:val="3"/>
  </w:num>
  <w:num w:numId="5" w16cid:durableId="1015377096">
    <w:abstractNumId w:val="2"/>
  </w:num>
  <w:num w:numId="6" w16cid:durableId="271087076">
    <w:abstractNumId w:val="4"/>
  </w:num>
  <w:num w:numId="7" w16cid:durableId="1649819062">
    <w:abstractNumId w:val="6"/>
  </w:num>
  <w:num w:numId="8" w16cid:durableId="1394041820">
    <w:abstractNumId w:val="5"/>
  </w:num>
  <w:num w:numId="9" w16cid:durableId="2104912865">
    <w:abstractNumId w:val="7"/>
  </w:num>
  <w:num w:numId="10" w16cid:durableId="348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1E"/>
    <w:rsid w:val="0001647C"/>
    <w:rsid w:val="000764BF"/>
    <w:rsid w:val="00085B66"/>
    <w:rsid w:val="00125069"/>
    <w:rsid w:val="00126E64"/>
    <w:rsid w:val="00135BF2"/>
    <w:rsid w:val="001B381E"/>
    <w:rsid w:val="001C63BB"/>
    <w:rsid w:val="002D63F8"/>
    <w:rsid w:val="002E1B1F"/>
    <w:rsid w:val="002E4C4B"/>
    <w:rsid w:val="00321C5E"/>
    <w:rsid w:val="004A464C"/>
    <w:rsid w:val="004B71F1"/>
    <w:rsid w:val="004D429C"/>
    <w:rsid w:val="004E3ADA"/>
    <w:rsid w:val="0050547D"/>
    <w:rsid w:val="005C41E9"/>
    <w:rsid w:val="005C5C04"/>
    <w:rsid w:val="005F4C5D"/>
    <w:rsid w:val="00603D62"/>
    <w:rsid w:val="00617A56"/>
    <w:rsid w:val="006749FF"/>
    <w:rsid w:val="006C00A0"/>
    <w:rsid w:val="007B3726"/>
    <w:rsid w:val="00843493"/>
    <w:rsid w:val="00922C92"/>
    <w:rsid w:val="00957A0B"/>
    <w:rsid w:val="00A11731"/>
    <w:rsid w:val="00AC128A"/>
    <w:rsid w:val="00B60C5E"/>
    <w:rsid w:val="00BA4F07"/>
    <w:rsid w:val="00BA526C"/>
    <w:rsid w:val="00BB1634"/>
    <w:rsid w:val="00BE5548"/>
    <w:rsid w:val="00BF001B"/>
    <w:rsid w:val="00C31D1A"/>
    <w:rsid w:val="00C458AF"/>
    <w:rsid w:val="00C60EB4"/>
    <w:rsid w:val="00C81968"/>
    <w:rsid w:val="00CD7B60"/>
    <w:rsid w:val="00D2158B"/>
    <w:rsid w:val="00D53B52"/>
    <w:rsid w:val="00E0585B"/>
    <w:rsid w:val="00E50A86"/>
    <w:rsid w:val="00E52484"/>
    <w:rsid w:val="00E56771"/>
    <w:rsid w:val="00F00B65"/>
    <w:rsid w:val="00F206B3"/>
    <w:rsid w:val="00FA3A1D"/>
    <w:rsid w:val="00FC17B9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102D"/>
  <w15:chartTrackingRefBased/>
  <w15:docId w15:val="{A2E1826B-3214-4079-92D0-3C70515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B60"/>
    <w:pPr>
      <w:spacing w:after="0" w:line="36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8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8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8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8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8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8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8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8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8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8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81E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1B38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8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8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81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link w:val="Akapitzlist"/>
    <w:uiPriority w:val="34"/>
    <w:qFormat/>
    <w:locked/>
    <w:rsid w:val="00CD7B60"/>
  </w:style>
  <w:style w:type="character" w:styleId="Hipercze">
    <w:name w:val="Hyperlink"/>
    <w:basedOn w:val="Domylnaczcionkaakapitu"/>
    <w:rsid w:val="00CD7B6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5F4C5D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F4C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ADA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ADA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Eberle-Mazurkiewicz, Klaudia</dc:creator>
  <cp:keywords/>
  <dc:description/>
  <cp:lastModifiedBy>Szczukiewicz, Maja</cp:lastModifiedBy>
  <cp:revision>29</cp:revision>
  <dcterms:created xsi:type="dcterms:W3CDTF">2026-06-17T07:39:00Z</dcterms:created>
  <dcterms:modified xsi:type="dcterms:W3CDTF">2026-06-26T08:39:00Z</dcterms:modified>
</cp:coreProperties>
</file>